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7"/>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7"/>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7"/>
        <w:rPr>
          <w:color w:val="auto"/>
          <w:highlight w:val="none"/>
        </w:rPr>
      </w:pPr>
    </w:p>
    <w:p w14:paraId="79CC6188">
      <w:pPr>
        <w:spacing w:line="600" w:lineRule="exact"/>
        <w:ind w:leftChars="600"/>
        <w:rPr>
          <w:rFonts w:hint="eastAsia" w:ascii="宋体" w:hAnsi="宋体" w:eastAsia="宋体" w:cs="宋体"/>
          <w:color w:val="auto"/>
          <w:spacing w:val="30"/>
          <w:sz w:val="30"/>
          <w:highlight w:val="none"/>
          <w:lang w:eastAsia="zh-CN"/>
        </w:rPr>
      </w:pPr>
      <w:bookmarkStart w:id="0" w:name="_Toc230773770"/>
      <w:r>
        <w:rPr>
          <w:rFonts w:hint="eastAsia" w:ascii="宋体" w:hAnsi="宋体" w:cs="宋体"/>
          <w:color w:val="auto"/>
          <w:spacing w:val="30"/>
          <w:sz w:val="30"/>
          <w:highlight w:val="none"/>
        </w:rPr>
        <w:t>项 目 编 号：</w:t>
      </w:r>
      <w:r>
        <w:rPr>
          <w:rFonts w:hint="eastAsia" w:ascii="宋体" w:hAnsi="宋体" w:cs="宋体"/>
          <w:color w:val="auto"/>
          <w:spacing w:val="30"/>
          <w:sz w:val="30"/>
          <w:highlight w:val="none"/>
          <w:lang w:eastAsia="zh-CN"/>
        </w:rPr>
        <w:t>WZZF2026(FZC)-01-006（GK）</w:t>
      </w:r>
    </w:p>
    <w:p w14:paraId="66ADEC15">
      <w:pPr>
        <w:spacing w:line="600" w:lineRule="exact"/>
        <w:ind w:left="3780" w:leftChars="600" w:hanging="2520" w:hangingChars="700"/>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lang w:eastAsia="zh-CN"/>
        </w:rPr>
        <w:t>温州市第七人民医院穴位调控刺激仪耗材采购及配套设备租赁（2025-2026年度）（</w:t>
      </w:r>
      <w:r>
        <w:rPr>
          <w:rFonts w:hint="eastAsia" w:ascii="宋体" w:hAnsi="宋体" w:cs="宋体"/>
          <w:color w:val="auto"/>
          <w:sz w:val="30"/>
          <w:highlight w:val="none"/>
          <w:lang w:val="en-US" w:eastAsia="zh-CN"/>
        </w:rPr>
        <w:t>重2</w:t>
      </w:r>
      <w:r>
        <w:rPr>
          <w:rFonts w:hint="eastAsia" w:ascii="宋体" w:hAnsi="宋体" w:cs="宋体"/>
          <w:color w:val="auto"/>
          <w:sz w:val="30"/>
          <w:highlight w:val="none"/>
          <w:lang w:eastAsia="zh-CN"/>
        </w:rPr>
        <w:t>）</w:t>
      </w:r>
    </w:p>
    <w:p w14:paraId="7229BB6B">
      <w:pPr>
        <w:spacing w:line="600" w:lineRule="exact"/>
        <w:ind w:leftChars="6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7B8B702D">
      <w:pPr>
        <w:pStyle w:val="52"/>
        <w:rPr>
          <w:color w:val="auto"/>
          <w:highlight w:val="none"/>
        </w:rPr>
      </w:pPr>
    </w:p>
    <w:p w14:paraId="1CB2C9F4">
      <w:pPr>
        <w:pStyle w:val="17"/>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w:t>
      </w:r>
      <w:r>
        <w:rPr>
          <w:rFonts w:hint="eastAsia" w:ascii="宋体" w:hAnsi="宋体" w:cs="宋体"/>
          <w:b/>
          <w:color w:val="auto"/>
          <w:spacing w:val="40"/>
          <w:sz w:val="28"/>
          <w:highlight w:val="none"/>
          <w:lang w:val="en-US" w:eastAsia="zh-CN"/>
        </w:rPr>
        <w:t>六</w:t>
      </w:r>
      <w:r>
        <w:rPr>
          <w:rFonts w:hint="eastAsia" w:ascii="宋体" w:hAnsi="宋体" w:cs="宋体"/>
          <w:b/>
          <w:color w:val="auto"/>
          <w:spacing w:val="40"/>
          <w:sz w:val="28"/>
          <w:highlight w:val="none"/>
        </w:rPr>
        <w:t>年</w:t>
      </w:r>
      <w:r>
        <w:rPr>
          <w:rFonts w:hint="eastAsia" w:ascii="宋体" w:hAnsi="宋体" w:cs="宋体"/>
          <w:b/>
          <w:color w:val="auto"/>
          <w:spacing w:val="40"/>
          <w:sz w:val="28"/>
          <w:highlight w:val="none"/>
          <w:lang w:val="en-US" w:eastAsia="zh-CN"/>
        </w:rPr>
        <w:t>一</w:t>
      </w:r>
      <w:r>
        <w:rPr>
          <w:rFonts w:hint="eastAsia" w:ascii="宋体" w:hAnsi="宋体" w:cs="宋体"/>
          <w:b/>
          <w:color w:val="auto"/>
          <w:spacing w:val="40"/>
          <w:sz w:val="28"/>
          <w:highlight w:val="none"/>
        </w:rPr>
        <w:t>月</w:t>
      </w:r>
    </w:p>
    <w:p w14:paraId="3FE91B26">
      <w:pPr>
        <w:pStyle w:val="3"/>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3"/>
        <w:spacing w:line="600" w:lineRule="exact"/>
        <w:jc w:val="center"/>
        <w:rPr>
          <w:rFonts w:ascii="黑体" w:hAnsi="黑体" w:eastAsia="黑体"/>
          <w:bCs/>
          <w:color w:val="auto"/>
          <w:sz w:val="36"/>
          <w:szCs w:val="36"/>
          <w:highlight w:val="none"/>
        </w:rPr>
      </w:pPr>
      <w:bookmarkStart w:id="1" w:name="_Toc25689"/>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49068B63">
      <w:pPr>
        <w:pStyle w:val="31"/>
        <w:tabs>
          <w:tab w:val="right" w:leader="dot" w:pos="9638"/>
          <w:tab w:val="clear" w:pos="9628"/>
        </w:tabs>
        <w:rPr>
          <w:color w:val="auto"/>
          <w:highlight w:val="none"/>
        </w:rPr>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_Toc25689 </w:instrText>
      </w:r>
      <w:r>
        <w:rPr>
          <w:rFonts w:hint="eastAsia" w:ascii="宋体" w:hAnsi="宋体" w:cs="宋体"/>
          <w:color w:val="auto"/>
          <w:szCs w:val="21"/>
          <w:highlight w:val="none"/>
        </w:rPr>
        <w:fldChar w:fldCharType="separate"/>
      </w:r>
      <w:r>
        <w:rPr>
          <w:rFonts w:hint="eastAsia" w:ascii="黑体" w:hAnsi="黑体" w:eastAsia="黑体"/>
          <w:bCs/>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_Toc25689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1"/>
          <w:highlight w:val="none"/>
        </w:rPr>
        <w:fldChar w:fldCharType="end"/>
      </w:r>
    </w:p>
    <w:p w14:paraId="52982C60">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_Toc20637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_Toc20637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szCs w:val="21"/>
          <w:highlight w:val="none"/>
        </w:rPr>
        <w:fldChar w:fldCharType="end"/>
      </w:r>
    </w:p>
    <w:p w14:paraId="04DE39C8">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_Toc19437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_Toc19437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29CC6FD9">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_Toc25878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_Toc25878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3C62A71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_Toc22008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一、 说   明</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szCs w:val="21"/>
          <w:highlight w:val="none"/>
        </w:rPr>
        <w:fldChar w:fldCharType="end"/>
      </w:r>
    </w:p>
    <w:p w14:paraId="26C91044">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_Toc29996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_Toc29996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0D698CDD">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_Toc3381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_Toc3381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696914C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_Toc17052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_Toc17052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szCs w:val="21"/>
          <w:highlight w:val="none"/>
        </w:rPr>
        <w:fldChar w:fldCharType="end"/>
      </w:r>
    </w:p>
    <w:p w14:paraId="229A416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_Toc20114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五、 开标和评标</w:t>
      </w:r>
      <w:r>
        <w:rPr>
          <w:color w:val="auto"/>
          <w:highlight w:val="none"/>
        </w:rPr>
        <w:tab/>
      </w:r>
      <w:r>
        <w:rPr>
          <w:color w:val="auto"/>
          <w:highlight w:val="none"/>
        </w:rPr>
        <w:fldChar w:fldCharType="begin"/>
      </w:r>
      <w:r>
        <w:rPr>
          <w:color w:val="auto"/>
          <w:highlight w:val="none"/>
        </w:rPr>
        <w:instrText xml:space="preserve"> PAGEREF _Toc20114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14:paraId="52BD9B9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_Toc30749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六、 中标和合同</w:t>
      </w:r>
      <w:r>
        <w:rPr>
          <w:color w:val="auto"/>
          <w:highlight w:val="none"/>
        </w:rPr>
        <w:tab/>
      </w:r>
      <w:r>
        <w:rPr>
          <w:color w:val="auto"/>
          <w:highlight w:val="none"/>
        </w:rPr>
        <w:fldChar w:fldCharType="begin"/>
      </w:r>
      <w:r>
        <w:rPr>
          <w:color w:val="auto"/>
          <w:highlight w:val="none"/>
        </w:rPr>
        <w:instrText xml:space="preserve"> PAGEREF _Toc30749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szCs w:val="21"/>
          <w:highlight w:val="none"/>
        </w:rPr>
        <w:fldChar w:fldCharType="end"/>
      </w:r>
    </w:p>
    <w:p w14:paraId="553C5F2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_Toc23910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七、 可中止电子交易活动的情形</w:t>
      </w:r>
      <w:r>
        <w:rPr>
          <w:color w:val="auto"/>
          <w:highlight w:val="none"/>
        </w:rPr>
        <w:tab/>
      </w:r>
      <w:r>
        <w:rPr>
          <w:color w:val="auto"/>
          <w:highlight w:val="none"/>
        </w:rPr>
        <w:fldChar w:fldCharType="begin"/>
      </w:r>
      <w:r>
        <w:rPr>
          <w:color w:val="auto"/>
          <w:highlight w:val="none"/>
        </w:rPr>
        <w:instrText xml:space="preserve"> PAGEREF _Toc23910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szCs w:val="21"/>
          <w:highlight w:val="none"/>
        </w:rPr>
        <w:fldChar w:fldCharType="end"/>
      </w:r>
    </w:p>
    <w:p w14:paraId="16E6345E">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_Toc26942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 xml:space="preserve">第三部分 </w:t>
      </w:r>
      <w:r>
        <w:rPr>
          <w:rFonts w:ascii="黑体" w:hAnsi="黑体" w:eastAsia="黑体"/>
          <w:bCs/>
          <w:color w:val="auto"/>
          <w:szCs w:val="36"/>
          <w:highlight w:val="none"/>
        </w:rPr>
        <w:t xml:space="preserve"> </w:t>
      </w:r>
      <w:r>
        <w:rPr>
          <w:rFonts w:hint="eastAsia" w:ascii="黑体" w:hAnsi="黑体" w:eastAsia="黑体"/>
          <w:color w:val="auto"/>
          <w:szCs w:val="36"/>
          <w:highlight w:val="none"/>
        </w:rPr>
        <w:t>主要合同条款</w:t>
      </w:r>
      <w:r>
        <w:rPr>
          <w:color w:val="auto"/>
          <w:highlight w:val="none"/>
        </w:rPr>
        <w:tab/>
      </w:r>
      <w:r>
        <w:rPr>
          <w:color w:val="auto"/>
          <w:highlight w:val="none"/>
        </w:rPr>
        <w:fldChar w:fldCharType="begin"/>
      </w:r>
      <w:r>
        <w:rPr>
          <w:color w:val="auto"/>
          <w:highlight w:val="none"/>
        </w:rPr>
        <w:instrText xml:space="preserve"> PAGEREF _Toc26942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szCs w:val="21"/>
          <w:highlight w:val="none"/>
        </w:rPr>
        <w:fldChar w:fldCharType="end"/>
      </w:r>
    </w:p>
    <w:p w14:paraId="41241EAB">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_Toc11853 </w:instrText>
      </w:r>
      <w:r>
        <w:rPr>
          <w:rFonts w:hint="eastAsia" w:ascii="宋体" w:hAnsi="宋体" w:cs="宋体"/>
          <w:bCs/>
          <w:caps/>
          <w:color w:val="auto"/>
          <w:szCs w:val="21"/>
          <w:highlight w:val="none"/>
        </w:rPr>
        <w:fldChar w:fldCharType="separate"/>
      </w:r>
      <w:r>
        <w:rPr>
          <w:rFonts w:hint="eastAsia" w:ascii="黑体" w:hAnsi="黑体" w:eastAsia="黑体"/>
          <w:bCs/>
          <w:color w:val="auto"/>
          <w:kern w:val="44"/>
          <w:szCs w:val="36"/>
          <w:highlight w:val="none"/>
        </w:rPr>
        <w:t>第四部分  附   件</w:t>
      </w:r>
      <w:r>
        <w:rPr>
          <w:color w:val="auto"/>
          <w:highlight w:val="none"/>
        </w:rPr>
        <w:tab/>
      </w:r>
      <w:r>
        <w:rPr>
          <w:color w:val="auto"/>
          <w:highlight w:val="none"/>
        </w:rPr>
        <w:fldChar w:fldCharType="begin"/>
      </w:r>
      <w:r>
        <w:rPr>
          <w:color w:val="auto"/>
          <w:highlight w:val="none"/>
        </w:rPr>
        <w:instrText xml:space="preserve"> PAGEREF _Toc11853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095E06E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_Toc4685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附件一 投标函</w:t>
      </w:r>
      <w:r>
        <w:rPr>
          <w:color w:val="auto"/>
          <w:highlight w:val="none"/>
        </w:rPr>
        <w:tab/>
      </w:r>
      <w:r>
        <w:rPr>
          <w:color w:val="auto"/>
          <w:highlight w:val="none"/>
        </w:rPr>
        <w:fldChar w:fldCharType="begin"/>
      </w:r>
      <w:r>
        <w:rPr>
          <w:color w:val="auto"/>
          <w:highlight w:val="none"/>
        </w:rPr>
        <w:instrText xml:space="preserve"> PAGEREF _Toc4685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4E9A615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_Toc17912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附件二 投标报价一览表</w:t>
      </w:r>
      <w:r>
        <w:rPr>
          <w:color w:val="auto"/>
          <w:highlight w:val="none"/>
        </w:rPr>
        <w:tab/>
      </w:r>
      <w:r>
        <w:rPr>
          <w:color w:val="auto"/>
          <w:highlight w:val="none"/>
        </w:rPr>
        <w:fldChar w:fldCharType="begin"/>
      </w:r>
      <w:r>
        <w:rPr>
          <w:color w:val="auto"/>
          <w:highlight w:val="none"/>
        </w:rPr>
        <w:instrText xml:space="preserve"> PAGEREF _Toc17912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14:paraId="487D211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_Toc24680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附件三 投标分项报价表</w:t>
      </w:r>
      <w:r>
        <w:rPr>
          <w:color w:val="auto"/>
          <w:highlight w:val="none"/>
        </w:rPr>
        <w:tab/>
      </w:r>
      <w:r>
        <w:rPr>
          <w:color w:val="auto"/>
          <w:highlight w:val="none"/>
        </w:rPr>
        <w:fldChar w:fldCharType="begin"/>
      </w:r>
      <w:r>
        <w:rPr>
          <w:color w:val="auto"/>
          <w:highlight w:val="none"/>
        </w:rPr>
        <w:instrText xml:space="preserve"> PAGEREF _Toc24680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szCs w:val="21"/>
          <w:highlight w:val="none"/>
        </w:rPr>
        <w:fldChar w:fldCharType="end"/>
      </w:r>
    </w:p>
    <w:p w14:paraId="0115C900">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_Toc13173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附件四 资格证明文件</w:t>
      </w:r>
      <w:r>
        <w:rPr>
          <w:color w:val="auto"/>
          <w:highlight w:val="none"/>
        </w:rPr>
        <w:tab/>
      </w:r>
      <w:r>
        <w:rPr>
          <w:color w:val="auto"/>
          <w:highlight w:val="none"/>
        </w:rPr>
        <w:fldChar w:fldCharType="begin"/>
      </w:r>
      <w:r>
        <w:rPr>
          <w:color w:val="auto"/>
          <w:highlight w:val="none"/>
        </w:rPr>
        <w:instrText xml:space="preserve"> PAGEREF _Toc13173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szCs w:val="21"/>
          <w:highlight w:val="none"/>
        </w:rPr>
        <w:fldChar w:fldCharType="end"/>
      </w:r>
    </w:p>
    <w:p w14:paraId="0D33D227">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_Toc19238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附件五 商务条款、技术规格偏离表</w:t>
      </w:r>
      <w:r>
        <w:rPr>
          <w:color w:val="auto"/>
          <w:highlight w:val="none"/>
        </w:rPr>
        <w:tab/>
      </w:r>
      <w:r>
        <w:rPr>
          <w:color w:val="auto"/>
          <w:highlight w:val="none"/>
        </w:rPr>
        <w:fldChar w:fldCharType="begin"/>
      </w:r>
      <w:r>
        <w:rPr>
          <w:color w:val="auto"/>
          <w:highlight w:val="none"/>
        </w:rPr>
        <w:instrText xml:space="preserve"> PAGEREF _Toc19238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szCs w:val="21"/>
          <w:highlight w:val="none"/>
        </w:rPr>
        <w:fldChar w:fldCharType="end"/>
      </w:r>
    </w:p>
    <w:p w14:paraId="6600D202">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_Toc10680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 xml:space="preserve">附件六 </w:t>
      </w:r>
      <w:r>
        <w:rPr>
          <w:rFonts w:hint="eastAsia" w:ascii="宋体" w:hAnsi="宋体" w:eastAsia="宋体"/>
          <w:color w:val="auto"/>
          <w:szCs w:val="24"/>
          <w:highlight w:val="none"/>
        </w:rPr>
        <w:t>货物成套供货清单</w:t>
      </w:r>
      <w:r>
        <w:rPr>
          <w:color w:val="auto"/>
          <w:highlight w:val="none"/>
        </w:rPr>
        <w:tab/>
      </w:r>
      <w:r>
        <w:rPr>
          <w:color w:val="auto"/>
          <w:highlight w:val="none"/>
        </w:rPr>
        <w:fldChar w:fldCharType="begin"/>
      </w:r>
      <w:r>
        <w:rPr>
          <w:color w:val="auto"/>
          <w:highlight w:val="none"/>
        </w:rPr>
        <w:instrText xml:space="preserve"> PAGEREF _Toc10680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szCs w:val="21"/>
          <w:highlight w:val="none"/>
        </w:rPr>
        <w:fldChar w:fldCharType="end"/>
      </w:r>
    </w:p>
    <w:p w14:paraId="48CAB51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_Toc21629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附件七 同类项目业绩一览表</w:t>
      </w:r>
      <w:r>
        <w:rPr>
          <w:color w:val="auto"/>
          <w:highlight w:val="none"/>
        </w:rPr>
        <w:tab/>
      </w:r>
      <w:r>
        <w:rPr>
          <w:color w:val="auto"/>
          <w:highlight w:val="none"/>
        </w:rPr>
        <w:fldChar w:fldCharType="begin"/>
      </w:r>
      <w:r>
        <w:rPr>
          <w:color w:val="auto"/>
          <w:highlight w:val="none"/>
        </w:rPr>
        <w:instrText xml:space="preserve"> PAGEREF _Toc21629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szCs w:val="21"/>
          <w:highlight w:val="none"/>
        </w:rPr>
        <w:fldChar w:fldCharType="end"/>
      </w:r>
    </w:p>
    <w:p w14:paraId="622D09A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_Toc6768 </w:instrText>
      </w:r>
      <w:r>
        <w:rPr>
          <w:rFonts w:hint="eastAsia" w:ascii="宋体" w:hAnsi="宋体" w:cs="宋体"/>
          <w:bCs/>
          <w:caps/>
          <w:color w:val="auto"/>
          <w:szCs w:val="21"/>
          <w:highlight w:val="none"/>
        </w:rPr>
        <w:fldChar w:fldCharType="separate"/>
      </w:r>
      <w:r>
        <w:rPr>
          <w:rFonts w:ascii="宋体" w:hAnsi="宋体" w:eastAsia="宋体"/>
          <w:color w:val="auto"/>
          <w:szCs w:val="24"/>
          <w:highlight w:val="none"/>
        </w:rPr>
        <w:t>附件</w:t>
      </w:r>
      <w:r>
        <w:rPr>
          <w:rFonts w:hint="eastAsia" w:ascii="宋体" w:hAnsi="宋体" w:eastAsia="宋体"/>
          <w:color w:val="auto"/>
          <w:szCs w:val="24"/>
          <w:highlight w:val="none"/>
        </w:rPr>
        <w:t>八 政府采购政策功能相关说明</w:t>
      </w:r>
      <w:r>
        <w:rPr>
          <w:color w:val="auto"/>
          <w:highlight w:val="none"/>
        </w:rPr>
        <w:tab/>
      </w:r>
      <w:r>
        <w:rPr>
          <w:color w:val="auto"/>
          <w:highlight w:val="none"/>
        </w:rPr>
        <w:fldChar w:fldCharType="begin"/>
      </w:r>
      <w:r>
        <w:rPr>
          <w:color w:val="auto"/>
          <w:highlight w:val="none"/>
        </w:rPr>
        <w:instrText xml:space="preserve"> PAGEREF _Toc6768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szCs w:val="21"/>
          <w:highlight w:val="none"/>
        </w:rPr>
        <w:fldChar w:fldCharType="end"/>
      </w:r>
    </w:p>
    <w:p w14:paraId="42D50D8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_Toc26822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第五部分  招标内容及要求</w:t>
      </w:r>
      <w:r>
        <w:rPr>
          <w:color w:val="auto"/>
          <w:highlight w:val="none"/>
        </w:rPr>
        <w:tab/>
      </w:r>
      <w:r>
        <w:rPr>
          <w:color w:val="auto"/>
          <w:highlight w:val="none"/>
        </w:rPr>
        <w:fldChar w:fldCharType="begin"/>
      </w:r>
      <w:r>
        <w:rPr>
          <w:color w:val="auto"/>
          <w:highlight w:val="none"/>
        </w:rPr>
        <w:instrText xml:space="preserve"> PAGEREF _Toc26822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311537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_Toc1124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一、相关说明</w:t>
      </w:r>
      <w:r>
        <w:rPr>
          <w:color w:val="auto"/>
          <w:highlight w:val="none"/>
        </w:rPr>
        <w:tab/>
      </w:r>
      <w:r>
        <w:rPr>
          <w:color w:val="auto"/>
          <w:highlight w:val="none"/>
        </w:rPr>
        <w:fldChar w:fldCharType="begin"/>
      </w:r>
      <w:r>
        <w:rPr>
          <w:color w:val="auto"/>
          <w:highlight w:val="none"/>
        </w:rPr>
        <w:instrText xml:space="preserve"> PAGEREF _Toc1124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224C359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_Toc10267 </w:instrText>
      </w:r>
      <w:r>
        <w:rPr>
          <w:rFonts w:hint="eastAsia" w:ascii="宋体" w:hAnsi="宋体" w:cs="宋体"/>
          <w:bCs/>
          <w:caps/>
          <w:color w:val="auto"/>
          <w:szCs w:val="21"/>
          <w:highlight w:val="none"/>
        </w:rPr>
        <w:fldChar w:fldCharType="separate"/>
      </w:r>
      <w:r>
        <w:rPr>
          <w:rFonts w:hint="eastAsia" w:ascii="黑体" w:hAnsi="黑体" w:cs="黑体"/>
          <w:color w:val="auto"/>
          <w:szCs w:val="28"/>
          <w:highlight w:val="none"/>
        </w:rPr>
        <w:t>二、采购内容及要求</w:t>
      </w:r>
      <w:r>
        <w:rPr>
          <w:color w:val="auto"/>
          <w:highlight w:val="none"/>
        </w:rPr>
        <w:tab/>
      </w:r>
      <w:r>
        <w:rPr>
          <w:color w:val="auto"/>
          <w:highlight w:val="none"/>
        </w:rPr>
        <w:fldChar w:fldCharType="begin"/>
      </w:r>
      <w:r>
        <w:rPr>
          <w:color w:val="auto"/>
          <w:highlight w:val="none"/>
        </w:rPr>
        <w:instrText xml:space="preserve"> PAGEREF _Toc10267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B974EC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_Toc11101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第六部分  评标原则及方法</w:t>
      </w:r>
      <w:r>
        <w:rPr>
          <w:color w:val="auto"/>
          <w:highlight w:val="none"/>
        </w:rPr>
        <w:tab/>
      </w:r>
      <w:r>
        <w:rPr>
          <w:color w:val="auto"/>
          <w:highlight w:val="none"/>
        </w:rPr>
        <w:fldChar w:fldCharType="begin"/>
      </w:r>
      <w:r>
        <w:rPr>
          <w:color w:val="auto"/>
          <w:highlight w:val="none"/>
        </w:rPr>
        <w:instrText xml:space="preserve"> PAGEREF _Toc11101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7"/>
        <w:ind w:left="420" w:firstLine="480"/>
        <w:rPr>
          <w:color w:val="auto"/>
          <w:highlight w:val="none"/>
        </w:rPr>
      </w:pPr>
    </w:p>
    <w:p w14:paraId="2EAFF510">
      <w:pPr>
        <w:pStyle w:val="18"/>
        <w:ind w:firstLine="210"/>
        <w:rPr>
          <w:color w:val="auto"/>
          <w:highlight w:val="none"/>
        </w:rPr>
      </w:pPr>
    </w:p>
    <w:p w14:paraId="6B9F7A80">
      <w:pPr>
        <w:pStyle w:val="37"/>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3"/>
        <w:spacing w:line="600" w:lineRule="exact"/>
        <w:jc w:val="center"/>
        <w:rPr>
          <w:rFonts w:ascii="黑体" w:hAnsi="黑体" w:eastAsia="黑体"/>
          <w:bCs/>
          <w:color w:val="auto"/>
          <w:sz w:val="36"/>
          <w:szCs w:val="36"/>
          <w:highlight w:val="none"/>
        </w:rPr>
      </w:pPr>
      <w:bookmarkStart w:id="2" w:name="_Toc20637"/>
      <w:r>
        <w:rPr>
          <w:rFonts w:hint="eastAsia" w:ascii="黑体" w:hAnsi="黑体" w:eastAsia="黑体"/>
          <w:bCs/>
          <w:color w:val="auto"/>
          <w:sz w:val="36"/>
          <w:szCs w:val="36"/>
          <w:highlight w:val="none"/>
        </w:rPr>
        <w:t>第一部分   招标公告</w:t>
      </w:r>
      <w:bookmarkEnd w:id="2"/>
    </w:p>
    <w:p w14:paraId="5A423023">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14:paraId="4BBF5803">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lang w:eastAsia="zh-CN"/>
        </w:rPr>
        <w:t>温州市第七人民医院穴位调控刺激仪耗材采购及配套设备租赁（2025-2026年度）（重2）</w:t>
      </w:r>
      <w:r>
        <w:rPr>
          <w:rFonts w:hint="eastAsia" w:ascii="宋体" w:hAnsi="宋体"/>
          <w:color w:val="auto"/>
          <w:sz w:val="22"/>
          <w:szCs w:val="22"/>
          <w:highlight w:val="none"/>
        </w:rPr>
        <w:t>招标项目的潜在投标人应在</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Fonts w:hint="eastAsia"/>
          <w:color w:val="auto"/>
          <w:highlight w:val="none"/>
          <w:u w:val="single"/>
        </w:rPr>
        <w:t>乐采云</w:t>
      </w:r>
      <w:r>
        <w:rPr>
          <w:rFonts w:hint="eastAsia" w:ascii="宋体" w:hAnsi="宋体" w:cs="宋体"/>
          <w:color w:val="auto"/>
          <w:sz w:val="22"/>
          <w:szCs w:val="22"/>
          <w:highlight w:val="none"/>
          <w:u w:val="single"/>
        </w:rPr>
        <w:t>平台</w:t>
      </w:r>
      <w:r>
        <w:rPr>
          <w:rFonts w:hint="eastAsia" w:ascii="宋体" w:hAnsi="宋体" w:cs="宋体"/>
          <w:color w:val="auto"/>
          <w:sz w:val="22"/>
          <w:szCs w:val="22"/>
          <w:highlight w:val="none"/>
        </w:rPr>
        <w:t>（https://www.lecaiyun.com/）</w:t>
      </w:r>
      <w:r>
        <w:rPr>
          <w:rStyle w:val="46"/>
          <w:rFonts w:hint="eastAsia" w:ascii="宋体" w:hAnsi="宋体" w:cs="宋体"/>
          <w:color w:val="auto"/>
          <w:sz w:val="22"/>
          <w:szCs w:val="22"/>
          <w:highlight w:val="none"/>
        </w:rPr>
        <w:t>获</w:t>
      </w:r>
      <w:r>
        <w:rPr>
          <w:rStyle w:val="46"/>
          <w:rFonts w:hint="eastAsia" w:ascii="宋体" w:hAnsi="宋体"/>
          <w:color w:val="auto"/>
          <w:sz w:val="22"/>
          <w:szCs w:val="22"/>
          <w:highlight w:val="none"/>
        </w:rPr>
        <w:t>取（下载）招标文件，并于</w:t>
      </w:r>
      <w:r>
        <w:rPr>
          <w:rStyle w:val="46"/>
          <w:rFonts w:ascii="宋体" w:hAnsi="宋体"/>
          <w:color w:val="auto"/>
          <w:sz w:val="22"/>
          <w:szCs w:val="22"/>
          <w:highlight w:val="none"/>
        </w:rPr>
        <w:t>202</w:t>
      </w:r>
      <w:r>
        <w:rPr>
          <w:rStyle w:val="46"/>
          <w:rFonts w:hint="eastAsia" w:ascii="宋体" w:hAnsi="宋体"/>
          <w:color w:val="auto"/>
          <w:sz w:val="22"/>
          <w:szCs w:val="22"/>
          <w:highlight w:val="none"/>
          <w:lang w:val="en-US" w:eastAsia="zh-CN"/>
        </w:rPr>
        <w:t>6</w:t>
      </w:r>
      <w:r>
        <w:rPr>
          <w:rStyle w:val="46"/>
          <w:rFonts w:hint="eastAsia" w:ascii="宋体" w:hAnsi="宋体"/>
          <w:bCs/>
          <w:color w:val="auto"/>
          <w:sz w:val="22"/>
          <w:szCs w:val="22"/>
          <w:highlight w:val="none"/>
        </w:rPr>
        <w:t>年</w:t>
      </w:r>
      <w:r>
        <w:rPr>
          <w:rStyle w:val="46"/>
          <w:rFonts w:hint="eastAsia" w:ascii="宋体" w:hAnsi="宋体"/>
          <w:bCs/>
          <w:color w:val="auto"/>
          <w:sz w:val="22"/>
          <w:szCs w:val="22"/>
          <w:highlight w:val="none"/>
        </w:rPr>
        <w:fldChar w:fldCharType="end"/>
      </w:r>
      <w:r>
        <w:rPr>
          <w:rFonts w:hint="eastAsia" w:ascii="宋体" w:hAnsi="宋体"/>
          <w:color w:val="auto"/>
          <w:sz w:val="22"/>
          <w:szCs w:val="22"/>
          <w:highlight w:val="none"/>
          <w:u w:val="single"/>
          <w:lang w:val="en-US" w:eastAsia="zh-CN"/>
        </w:rPr>
        <w:t>01</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30</w:t>
      </w:r>
      <w:r>
        <w:rPr>
          <w:rFonts w:hint="eastAsia" w:ascii="宋体" w:hAnsi="宋体"/>
          <w:bCs/>
          <w:color w:val="auto"/>
          <w:sz w:val="22"/>
          <w:szCs w:val="22"/>
          <w:highlight w:val="none"/>
        </w:rPr>
        <w:t>日</w:t>
      </w:r>
      <w:r>
        <w:rPr>
          <w:rFonts w:hint="eastAsia" w:ascii="宋体" w:hAnsi="宋体"/>
          <w:bCs/>
          <w:color w:val="auto"/>
          <w:sz w:val="22"/>
          <w:szCs w:val="22"/>
          <w:highlight w:val="none"/>
          <w:u w:val="single"/>
          <w:lang w:val="en-US" w:eastAsia="zh-CN"/>
        </w:rPr>
        <w:t>09</w:t>
      </w:r>
      <w:r>
        <w:rPr>
          <w:rFonts w:hint="eastAsia" w:ascii="宋体" w:hAnsi="宋体"/>
          <w:bCs/>
          <w:color w:val="auto"/>
          <w:sz w:val="22"/>
          <w:szCs w:val="22"/>
          <w:highlight w:val="none"/>
        </w:rPr>
        <w:t>点</w:t>
      </w:r>
      <w:r>
        <w:rPr>
          <w:rFonts w:hint="eastAsia" w:ascii="宋体" w:hAnsi="宋体"/>
          <w:bCs/>
          <w:color w:val="auto"/>
          <w:sz w:val="22"/>
          <w:szCs w:val="22"/>
          <w:highlight w:val="none"/>
          <w:u w:val="single"/>
          <w:lang w:val="en-US" w:eastAsia="zh-CN"/>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35FFFCAC">
      <w:pPr>
        <w:widowControl/>
        <w:spacing w:line="440" w:lineRule="exact"/>
        <w:rPr>
          <w:rFonts w:ascii="宋体" w:hAnsi="宋体" w:cs="宋体"/>
          <w:b/>
          <w:color w:val="auto"/>
          <w:sz w:val="22"/>
          <w:szCs w:val="22"/>
          <w:highlight w:val="none"/>
        </w:rPr>
      </w:pPr>
      <w:bookmarkStart w:id="112" w:name="_GoBack"/>
      <w:bookmarkStart w:id="3" w:name="_Toc35393621"/>
      <w:bookmarkStart w:id="4" w:name="_Toc35393790"/>
      <w:bookmarkStart w:id="5" w:name="_Toc28359002"/>
      <w:bookmarkStart w:id="6" w:name="_Toc28359079"/>
      <w:bookmarkStart w:id="7" w:name="_Hlk24379207"/>
      <w:r>
        <w:rPr>
          <w:rFonts w:hint="eastAsia" w:ascii="宋体" w:hAnsi="宋体" w:cs="宋体"/>
          <w:b/>
          <w:color w:val="auto"/>
          <w:sz w:val="22"/>
          <w:szCs w:val="22"/>
          <w:highlight w:val="none"/>
        </w:rPr>
        <w:t>一、项目基本情况</w:t>
      </w:r>
      <w:bookmarkEnd w:id="3"/>
      <w:bookmarkEnd w:id="4"/>
      <w:bookmarkEnd w:id="5"/>
      <w:bookmarkEnd w:id="6"/>
    </w:p>
    <w:p w14:paraId="30E47FB9">
      <w:pPr>
        <w:spacing w:line="440" w:lineRule="exact"/>
        <w:ind w:left="0" w:leftChars="0"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项目编号：</w:t>
      </w:r>
      <w:r>
        <w:rPr>
          <w:rFonts w:hint="eastAsia" w:ascii="宋体" w:hAnsi="宋体"/>
          <w:color w:val="auto"/>
          <w:sz w:val="22"/>
          <w:szCs w:val="22"/>
          <w:highlight w:val="none"/>
          <w:lang w:eastAsia="zh-CN"/>
        </w:rPr>
        <w:t>WZZF2026(FZC)-01-006（GK）</w:t>
      </w:r>
    </w:p>
    <w:p w14:paraId="69CC833D">
      <w:pPr>
        <w:spacing w:line="440" w:lineRule="exact"/>
        <w:ind w:left="0" w:leftChars="0"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温州市第七人民医院穴位调控刺激仪耗材采购及配套设备租赁（2025-2026年度）（重2）</w:t>
      </w:r>
    </w:p>
    <w:bookmarkEnd w:id="7"/>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786"/>
        <w:gridCol w:w="4696"/>
        <w:gridCol w:w="1654"/>
      </w:tblGrid>
      <w:tr w14:paraId="1F3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45AC91FF">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415" w:type="pct"/>
            <w:vAlign w:val="center"/>
          </w:tcPr>
          <w:p w14:paraId="60F3483C">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2385" w:type="pct"/>
            <w:vAlign w:val="center"/>
          </w:tcPr>
          <w:p w14:paraId="03456A61">
            <w:pPr>
              <w:widowControl/>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项目基本概况（具体详见招标文件第五部分）</w:t>
            </w:r>
          </w:p>
        </w:tc>
        <w:tc>
          <w:tcPr>
            <w:tcW w:w="840" w:type="pct"/>
            <w:vAlign w:val="center"/>
          </w:tcPr>
          <w:p w14:paraId="1A56B218">
            <w:pPr>
              <w:widowControl/>
              <w:spacing w:line="440" w:lineRule="exact"/>
              <w:ind w:right="80" w:rightChars="38"/>
              <w:jc w:val="center"/>
              <w:rPr>
                <w:rFonts w:ascii="宋体" w:hAnsi="宋体" w:cs="宋体"/>
                <w:b/>
                <w:color w:val="auto"/>
                <w:sz w:val="22"/>
                <w:szCs w:val="22"/>
                <w:highlight w:val="none"/>
              </w:rPr>
            </w:pPr>
            <w:r>
              <w:rPr>
                <w:rFonts w:hint="eastAsia" w:ascii="宋体" w:hAnsi="宋体" w:cs="宋体"/>
                <w:b/>
                <w:color w:val="auto"/>
                <w:sz w:val="22"/>
                <w:szCs w:val="22"/>
                <w:highlight w:val="none"/>
              </w:rPr>
              <w:t>采购预算</w:t>
            </w:r>
          </w:p>
        </w:tc>
      </w:tr>
      <w:tr w14:paraId="30F5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6627B7E0">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415" w:type="pct"/>
            <w:vAlign w:val="center"/>
          </w:tcPr>
          <w:p w14:paraId="17231892">
            <w:pPr>
              <w:widowControl/>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温州市第七人民医院穴位调控刺激仪耗材采购及配套设备租赁（2025-2026年度）（重2）</w:t>
            </w:r>
          </w:p>
        </w:tc>
        <w:tc>
          <w:tcPr>
            <w:tcW w:w="2385" w:type="pct"/>
            <w:vAlign w:val="center"/>
          </w:tcPr>
          <w:p w14:paraId="1FA9F92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温州市第七人民医院穴位调控刺激仪耗材采购及配套设备租赁（2025-2026年度）</w:t>
            </w:r>
            <w:r>
              <w:rPr>
                <w:rFonts w:hint="eastAsia" w:ascii="宋体" w:hAnsi="宋体" w:cs="宋体"/>
                <w:color w:val="auto"/>
                <w:sz w:val="22"/>
                <w:szCs w:val="22"/>
                <w:highlight w:val="none"/>
              </w:rPr>
              <w:t>，详见招标文件第五部分。</w:t>
            </w:r>
          </w:p>
        </w:tc>
        <w:tc>
          <w:tcPr>
            <w:tcW w:w="840" w:type="pct"/>
            <w:vAlign w:val="center"/>
          </w:tcPr>
          <w:p w14:paraId="131A565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37.5</w:t>
            </w:r>
            <w:r>
              <w:rPr>
                <w:rFonts w:hint="eastAsia" w:ascii="宋体" w:hAnsi="宋体" w:cs="宋体"/>
                <w:color w:val="auto"/>
                <w:sz w:val="22"/>
                <w:szCs w:val="22"/>
                <w:highlight w:val="none"/>
              </w:rPr>
              <w:t>万元</w:t>
            </w:r>
          </w:p>
        </w:tc>
      </w:tr>
    </w:tbl>
    <w:p w14:paraId="1D30B4A1">
      <w:pPr>
        <w:widowControl/>
        <w:spacing w:line="420" w:lineRule="exact"/>
        <w:rPr>
          <w:rFonts w:ascii="宋体" w:hAnsi="宋体" w:cs="宋体"/>
          <w:b/>
          <w:color w:val="auto"/>
          <w:sz w:val="22"/>
          <w:szCs w:val="22"/>
          <w:highlight w:val="none"/>
        </w:rPr>
      </w:pPr>
      <w:bookmarkStart w:id="8" w:name="_Toc28359003"/>
      <w:bookmarkStart w:id="9" w:name="_Toc28359080"/>
      <w:bookmarkStart w:id="10" w:name="_Toc35393622"/>
      <w:bookmarkStart w:id="11" w:name="_Toc35393791"/>
      <w:r>
        <w:rPr>
          <w:rFonts w:hint="eastAsia" w:ascii="宋体" w:hAnsi="宋体" w:cs="宋体"/>
          <w:b/>
          <w:color w:val="auto"/>
          <w:sz w:val="22"/>
          <w:szCs w:val="22"/>
          <w:highlight w:val="none"/>
        </w:rPr>
        <w:t>二、申请人的资格要求：</w:t>
      </w:r>
      <w:bookmarkEnd w:id="8"/>
      <w:bookmarkEnd w:id="9"/>
      <w:bookmarkEnd w:id="10"/>
      <w:bookmarkEnd w:id="11"/>
    </w:p>
    <w:p w14:paraId="57F591C2">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6977BA2">
      <w:pPr>
        <w:spacing w:line="420" w:lineRule="exact"/>
        <w:ind w:firstLine="440" w:firstLineChars="200"/>
        <w:rPr>
          <w:rFonts w:ascii="宋体" w:hAnsi="宋体"/>
          <w:color w:val="auto"/>
          <w:sz w:val="22"/>
          <w:szCs w:val="22"/>
          <w:highlight w:val="none"/>
          <w:u w:val="single"/>
        </w:rPr>
      </w:pPr>
      <w:bookmarkStart w:id="12" w:name="_Toc28359081"/>
      <w:bookmarkStart w:id="13" w:name="_Toc28359004"/>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.落实政府采购政策需满足的资格要求：供应商为中小企业/小微企业；</w:t>
      </w:r>
    </w:p>
    <w:p w14:paraId="150F057B">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3.本项目的特定资格要求：</w:t>
      </w:r>
      <w:r>
        <w:rPr>
          <w:rFonts w:hint="eastAsia" w:ascii="宋体" w:hAnsi="宋体"/>
          <w:color w:val="auto"/>
          <w:sz w:val="22"/>
          <w:szCs w:val="22"/>
          <w:highlight w:val="none"/>
          <w:lang w:val="en-US" w:eastAsia="zh-CN"/>
        </w:rPr>
        <w:t>投标人具有有效的《医疗器械经营许可证》（如适用，《医疗器械经营监督管理办法（总局54号令）》另有规定的，从其规定）</w:t>
      </w:r>
      <w:r>
        <w:rPr>
          <w:rFonts w:hint="eastAsia" w:ascii="宋体" w:hAnsi="宋体"/>
          <w:color w:val="auto"/>
          <w:sz w:val="22"/>
          <w:szCs w:val="22"/>
          <w:highlight w:val="none"/>
        </w:rPr>
        <w:t>；</w:t>
      </w:r>
    </w:p>
    <w:p w14:paraId="2CDF7478">
      <w:pPr>
        <w:spacing w:line="420" w:lineRule="exact"/>
        <w:ind w:firstLine="440" w:firstLineChars="200"/>
        <w:rPr>
          <w:color w:val="auto"/>
          <w:highlight w:val="none"/>
        </w:rPr>
      </w:pPr>
      <w:r>
        <w:rPr>
          <w:rFonts w:hint="eastAsia" w:ascii="宋体" w:hAnsi="宋体"/>
          <w:color w:val="auto"/>
          <w:sz w:val="22"/>
          <w:szCs w:val="22"/>
          <w:highlight w:val="none"/>
        </w:rPr>
        <w:t>4.本项目不接受联合体投标。</w:t>
      </w:r>
    </w:p>
    <w:p w14:paraId="5A179E80">
      <w:pPr>
        <w:widowControl/>
        <w:spacing w:line="420" w:lineRule="exact"/>
        <w:rPr>
          <w:rFonts w:ascii="宋体" w:hAnsi="宋体" w:cs="宋体"/>
          <w:b/>
          <w:color w:val="auto"/>
          <w:sz w:val="22"/>
          <w:szCs w:val="22"/>
          <w:highlight w:val="none"/>
        </w:rPr>
      </w:pPr>
      <w:bookmarkStart w:id="14" w:name="_Toc35393623"/>
      <w:bookmarkStart w:id="15" w:name="_Toc35393792"/>
      <w:r>
        <w:rPr>
          <w:rFonts w:hint="eastAsia" w:ascii="宋体" w:hAnsi="宋体" w:cs="宋体"/>
          <w:b/>
          <w:color w:val="auto"/>
          <w:sz w:val="22"/>
          <w:szCs w:val="22"/>
          <w:highlight w:val="none"/>
        </w:rPr>
        <w:t>三、获取招标文件</w:t>
      </w:r>
      <w:bookmarkEnd w:id="12"/>
      <w:bookmarkEnd w:id="13"/>
      <w:bookmarkEnd w:id="14"/>
      <w:bookmarkEnd w:id="15"/>
    </w:p>
    <w:p w14:paraId="71C7037C">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时间：/ 至202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30</w:t>
      </w:r>
      <w:r>
        <w:rPr>
          <w:rFonts w:hint="eastAsia"/>
          <w:color w:val="auto"/>
          <w:sz w:val="22"/>
          <w:szCs w:val="22"/>
          <w:highlight w:val="none"/>
        </w:rPr>
        <w:t>日，每天上午00:00至12:00，下午12:00至23:59（北京时间，线上获取法定节假日均可，线下获取文件法定节假日除外）</w:t>
      </w:r>
    </w:p>
    <w:p w14:paraId="1268949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地点（网址）：乐采云平台（https://www.lecaiyun.com/）</w:t>
      </w:r>
    </w:p>
    <w:p w14:paraId="6E550CB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xml:space="preserve">   方式：供应商登录乐采云平台（https://www.lecaiyun.com/）在线申请获取采购文件（进入“项目采购”应用，在获取采购文件菜单中选择项目，申请获取采购文件） </w:t>
      </w:r>
    </w:p>
    <w:p w14:paraId="714C229B">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四、提交投标文件截止时间、开标时间和地点</w:t>
      </w:r>
    </w:p>
    <w:p w14:paraId="7E61E73E">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提交投标文件截止时间：202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30</w:t>
      </w:r>
      <w:r>
        <w:rPr>
          <w:rFonts w:hint="eastAsia"/>
          <w:color w:val="auto"/>
          <w:sz w:val="22"/>
          <w:szCs w:val="22"/>
          <w:highlight w:val="none"/>
        </w:rPr>
        <w:t>日09:30（北京时间）</w:t>
      </w:r>
    </w:p>
    <w:p w14:paraId="7C77EE22">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投标地点（网址）：请登录乐采云投标客户端投标</w:t>
      </w:r>
    </w:p>
    <w:p w14:paraId="34A4080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开标时间：202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30</w:t>
      </w:r>
      <w:r>
        <w:rPr>
          <w:rFonts w:hint="eastAsia"/>
          <w:color w:val="auto"/>
          <w:sz w:val="22"/>
          <w:szCs w:val="22"/>
          <w:highlight w:val="none"/>
        </w:rPr>
        <w:t>日09:30（北京时间）</w:t>
      </w:r>
    </w:p>
    <w:p w14:paraId="5D93475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开标地点（网址）：温州市瓯海区南塘一组团1幢1504室，乐采云平台（https://www.lecaiyun.com/）在线评标</w:t>
      </w:r>
    </w:p>
    <w:p w14:paraId="27DDEB3F">
      <w:pPr>
        <w:widowControl/>
        <w:spacing w:line="420" w:lineRule="exact"/>
        <w:rPr>
          <w:rFonts w:ascii="宋体" w:hAnsi="宋体" w:cs="宋体"/>
          <w:b/>
          <w:color w:val="auto"/>
          <w:sz w:val="22"/>
          <w:szCs w:val="22"/>
          <w:highlight w:val="none"/>
        </w:rPr>
      </w:pPr>
      <w:bookmarkStart w:id="16" w:name="_Toc35393625"/>
      <w:bookmarkStart w:id="17" w:name="_Toc28359007"/>
      <w:bookmarkStart w:id="18" w:name="_Toc28359084"/>
      <w:bookmarkStart w:id="19" w:name="_Toc35393794"/>
      <w:r>
        <w:rPr>
          <w:rFonts w:hint="eastAsia" w:ascii="宋体" w:hAnsi="宋体" w:cs="宋体"/>
          <w:b/>
          <w:color w:val="auto"/>
          <w:sz w:val="22"/>
          <w:szCs w:val="22"/>
          <w:highlight w:val="none"/>
        </w:rPr>
        <w:t>五、公告期限</w:t>
      </w:r>
      <w:bookmarkEnd w:id="16"/>
      <w:bookmarkEnd w:id="17"/>
      <w:bookmarkEnd w:id="18"/>
      <w:bookmarkEnd w:id="19"/>
    </w:p>
    <w:p w14:paraId="2CB90493">
      <w:pPr>
        <w:spacing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7E7EE1D3">
      <w:pPr>
        <w:widowControl/>
        <w:spacing w:line="420" w:lineRule="exact"/>
        <w:rPr>
          <w:rFonts w:ascii="宋体" w:hAnsi="宋体" w:cs="宋体"/>
          <w:b/>
          <w:color w:val="auto"/>
          <w:sz w:val="22"/>
          <w:szCs w:val="22"/>
          <w:highlight w:val="none"/>
        </w:rPr>
      </w:pPr>
      <w:bookmarkStart w:id="20" w:name="_Toc35393795"/>
      <w:bookmarkStart w:id="21" w:name="_Toc35393626"/>
      <w:r>
        <w:rPr>
          <w:rFonts w:hint="eastAsia" w:ascii="宋体" w:hAnsi="宋体" w:cs="宋体"/>
          <w:b/>
          <w:color w:val="auto"/>
          <w:sz w:val="22"/>
          <w:szCs w:val="22"/>
          <w:highlight w:val="none"/>
        </w:rPr>
        <w:t>六、其他补充事宜</w:t>
      </w:r>
      <w:bookmarkEnd w:id="20"/>
      <w:bookmarkEnd w:id="21"/>
    </w:p>
    <w:p w14:paraId="2F86DB3F">
      <w:pPr>
        <w:pStyle w:val="34"/>
        <w:spacing w:before="75" w:beforeAutospacing="0" w:after="75" w:afterAutospacing="0" w:line="420" w:lineRule="exact"/>
        <w:ind w:firstLine="440" w:firstLineChars="200"/>
        <w:rPr>
          <w:color w:val="auto"/>
          <w:sz w:val="22"/>
          <w:szCs w:val="22"/>
          <w:highlight w:val="none"/>
        </w:rPr>
      </w:pPr>
      <w:bookmarkStart w:id="22" w:name="_Hlk6043354"/>
      <w:bookmarkStart w:id="23" w:name="B29_其他事项"/>
      <w:bookmarkStart w:id="24" w:name="_Hlk47793939"/>
      <w:r>
        <w:rPr>
          <w:rFonts w:hint="eastAsia"/>
          <w:color w:val="auto"/>
          <w:sz w:val="22"/>
          <w:szCs w:val="22"/>
          <w:highlight w:val="none"/>
        </w:rPr>
        <w:t>1.供应商认为采购文件使自己的权益受到损害的，可以自收到采购文件之日（发售截止日之后收到采购文件的，以发售截止日为准）或者采购文件公告期限届满之日（自本公告发布之日起至第2日24时止）起</w:t>
      </w:r>
      <w:r>
        <w:rPr>
          <w:rFonts w:hint="eastAsia"/>
          <w:color w:val="auto"/>
          <w:sz w:val="22"/>
          <w:szCs w:val="22"/>
          <w:highlight w:val="none"/>
          <w:lang w:val="en-US" w:eastAsia="zh-CN"/>
        </w:rPr>
        <w:t>7</w:t>
      </w:r>
      <w:r>
        <w:rPr>
          <w:rFonts w:hint="eastAsia"/>
          <w:color w:val="auto"/>
          <w:sz w:val="22"/>
          <w:szCs w:val="22"/>
          <w:highlight w:val="none"/>
        </w:rPr>
        <w:t>个工作日内（公告期限届满后获取采购文件的，以公告期限届满之日为准），以书面形式向采购人和采购代理机构提出质疑。</w:t>
      </w:r>
    </w:p>
    <w:p w14:paraId="7AA6CBB3">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2.质疑供应商对采购人、采购代理机构的答复不满意或者采购人、采购代理机构未在规定的时间内作出答复的，可以在答复期满后十五个工作日内向采购人监管部门投诉。</w:t>
      </w:r>
    </w:p>
    <w:bookmarkEnd w:id="22"/>
    <w:bookmarkEnd w:id="23"/>
    <w:p w14:paraId="1CC5BC18">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3.其他事项：</w:t>
      </w:r>
    </w:p>
    <w:p w14:paraId="04BA3BAA">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3.1.招标公告附件的招标文件仅供阅览使用，未按照本公告规定的方式获取采购文件的潜在供应商提起的质疑采购组织机构将不予受理、答复。</w:t>
      </w:r>
    </w:p>
    <w:p w14:paraId="5E772F07">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七、对本次招标提出询问、质疑、投诉，请按以下方式联系</w:t>
      </w:r>
    </w:p>
    <w:bookmarkEnd w:id="24"/>
    <w:p w14:paraId="554160A8">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 购 人：温州市第七人民医院</w:t>
      </w:r>
    </w:p>
    <w:p w14:paraId="04F5D1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人：王女士</w:t>
      </w:r>
    </w:p>
    <w:p w14:paraId="3AFD237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联系电话：0577-89870153</w:t>
      </w:r>
    </w:p>
    <w:p w14:paraId="683267A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采购代理机构：温州正风招标代理有限公司</w:t>
      </w:r>
    </w:p>
    <w:p w14:paraId="60F143A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地    点：温州市瓯海区南塘1组团1幢（商务楼）1504室</w:t>
      </w:r>
    </w:p>
    <w:p w14:paraId="40842304">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人：刘慧聪、诸葛晓斌</w:t>
      </w:r>
    </w:p>
    <w:p w14:paraId="7B76209D">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手    机：15858517848、13506646781</w:t>
      </w:r>
    </w:p>
    <w:p w14:paraId="22AC4DD6">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质疑联系人：胡女士</w:t>
      </w:r>
    </w:p>
    <w:p w14:paraId="664C9C79">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质疑联系方式：0577-88119278</w:t>
      </w:r>
    </w:p>
    <w:p w14:paraId="116CD1C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监督单位：温州市第七人民医院纪检监察室</w:t>
      </w:r>
    </w:p>
    <w:p w14:paraId="4EEEFA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联系电话：0577-89870113</w:t>
      </w:r>
    </w:p>
    <w:p w14:paraId="6A09DCAA">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温州市第七人民医院</w:t>
      </w:r>
    </w:p>
    <w:p w14:paraId="6891B4B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温州正风招标代理有限公司</w:t>
      </w:r>
    </w:p>
    <w:p w14:paraId="7361B37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09</w:t>
      </w:r>
      <w:r>
        <w:rPr>
          <w:rFonts w:hint="eastAsia"/>
          <w:color w:val="auto"/>
          <w:sz w:val="22"/>
          <w:szCs w:val="22"/>
          <w:highlight w:val="none"/>
        </w:rPr>
        <w:t>日</w:t>
      </w:r>
    </w:p>
    <w:bookmarkEnd w:id="112"/>
    <w:p w14:paraId="0419A26D">
      <w:pPr>
        <w:pStyle w:val="34"/>
        <w:spacing w:before="75" w:after="75"/>
        <w:rPr>
          <w:color w:val="auto"/>
          <w:sz w:val="22"/>
          <w:szCs w:val="22"/>
          <w:highlight w:val="none"/>
        </w:rPr>
      </w:pPr>
      <w:bookmarkStart w:id="25" w:name="_Toc230773774"/>
      <w:r>
        <w:rPr>
          <w:rFonts w:hint="eastAsia"/>
          <w:color w:val="auto"/>
          <w:sz w:val="22"/>
          <w:szCs w:val="22"/>
          <w:highlight w:val="none"/>
        </w:rPr>
        <w:br w:type="page"/>
      </w:r>
    </w:p>
    <w:p w14:paraId="3DB876EE">
      <w:pPr>
        <w:pStyle w:val="3"/>
        <w:spacing w:line="600" w:lineRule="exact"/>
        <w:jc w:val="center"/>
        <w:rPr>
          <w:rFonts w:ascii="黑体" w:hAnsi="黑体" w:eastAsia="黑体"/>
          <w:bCs/>
          <w:color w:val="auto"/>
          <w:sz w:val="36"/>
          <w:szCs w:val="36"/>
          <w:highlight w:val="none"/>
        </w:rPr>
      </w:pPr>
      <w:bookmarkStart w:id="26" w:name="_Toc19437"/>
      <w:r>
        <w:rPr>
          <w:rFonts w:hint="eastAsia" w:ascii="黑体" w:hAnsi="黑体" w:eastAsia="黑体"/>
          <w:bCs/>
          <w:color w:val="auto"/>
          <w:sz w:val="36"/>
          <w:szCs w:val="36"/>
          <w:highlight w:val="none"/>
        </w:rPr>
        <w:t>第二部分   投标人须知</w:t>
      </w:r>
      <w:bookmarkEnd w:id="25"/>
      <w:bookmarkEnd w:id="26"/>
    </w:p>
    <w:p w14:paraId="5A73F929">
      <w:pPr>
        <w:pStyle w:val="4"/>
        <w:tabs>
          <w:tab w:val="left" w:pos="840"/>
        </w:tabs>
        <w:spacing w:line="680" w:lineRule="exact"/>
        <w:jc w:val="center"/>
        <w:rPr>
          <w:rFonts w:ascii="宋体" w:hAnsi="宋体" w:eastAsia="宋体" w:cs="宋体"/>
          <w:color w:val="auto"/>
          <w:sz w:val="28"/>
          <w:szCs w:val="28"/>
          <w:highlight w:val="none"/>
        </w:rPr>
      </w:pPr>
      <w:bookmarkStart w:id="27" w:name="_Toc25878"/>
      <w:bookmarkStart w:id="28" w:name="_Toc486600281"/>
      <w:r>
        <w:rPr>
          <w:rFonts w:hint="eastAsia" w:ascii="宋体" w:hAnsi="宋体" w:eastAsia="宋体" w:cs="宋体"/>
          <w:color w:val="auto"/>
          <w:sz w:val="28"/>
          <w:szCs w:val="28"/>
          <w:highlight w:val="none"/>
        </w:rPr>
        <w:t>投标人须知前附表</w:t>
      </w:r>
      <w:bookmarkEnd w:id="27"/>
      <w:bookmarkEnd w:id="28"/>
    </w:p>
    <w:tbl>
      <w:tblPr>
        <w:tblStyle w:val="38"/>
        <w:tblW w:w="10008" w:type="dxa"/>
        <w:tblInd w:w="0" w:type="dxa"/>
        <w:tblLayout w:type="fixed"/>
        <w:tblCellMar>
          <w:top w:w="0" w:type="dxa"/>
          <w:left w:w="108" w:type="dxa"/>
          <w:bottom w:w="0" w:type="dxa"/>
          <w:right w:w="108" w:type="dxa"/>
        </w:tblCellMar>
      </w:tblPr>
      <w:tblGrid>
        <w:gridCol w:w="1001"/>
        <w:gridCol w:w="1712"/>
        <w:gridCol w:w="7295"/>
      </w:tblGrid>
      <w:tr w14:paraId="1E85007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lang w:val="en-US" w:eastAsia="zh-CN"/>
              </w:rPr>
              <w:t>服务期</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5"/>
              <w:spacing w:line="360" w:lineRule="exact"/>
              <w:rPr>
                <w:rFonts w:ascii="宋体" w:hAnsi="宋体" w:cs="宋体"/>
                <w:color w:val="auto"/>
                <w:sz w:val="22"/>
                <w:szCs w:val="22"/>
                <w:highlight w:val="none"/>
              </w:rPr>
            </w:pPr>
            <w:bookmarkStart w:id="29" w:name="OLE_LINK3"/>
            <w:bookmarkStart w:id="30" w:name="OLE_LINK5"/>
            <w:r>
              <w:rPr>
                <w:rFonts w:hint="eastAsia" w:ascii="宋体" w:hAnsi="宋体" w:cs="宋体"/>
                <w:color w:val="auto"/>
                <w:sz w:val="22"/>
                <w:szCs w:val="22"/>
                <w:highlight w:val="none"/>
                <w:lang w:val="en-US" w:eastAsia="zh-CN"/>
              </w:rPr>
              <w:t>本项目服务期为合同签订且设备验收合格后一年，或服务期内该项目耗材采购金额达到预算金额也视为服务期结束。服务期间如遇政策性原因导致合同无法履行，则合同自行终止。</w:t>
            </w:r>
            <w:bookmarkEnd w:id="29"/>
            <w:bookmarkEnd w:id="30"/>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A3"/>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5"/>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14:paraId="661197F6">
            <w:pPr>
              <w:pStyle w:val="25"/>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14:paraId="5C231F30">
            <w:pPr>
              <w:pStyle w:val="25"/>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(1)电子响应文件：通过乐采云电子交易客户端（乐采云投标客户端）完成响应文件编制后生成并加密的数据电文形式的响应文件（文件扩展名为.jmbs）</w:t>
            </w:r>
            <w:r>
              <w:rPr>
                <w:rFonts w:hint="eastAsia" w:hAnsi="宋体" w:cs="宋体"/>
                <w:b/>
                <w:bCs/>
                <w:color w:val="auto"/>
                <w:szCs w:val="22"/>
                <w:highlight w:val="none"/>
                <w:lang w:val="zh-CN"/>
              </w:rPr>
              <w:t>。</w:t>
            </w:r>
          </w:p>
          <w:p w14:paraId="391ACCE9">
            <w:pPr>
              <w:spacing w:line="360" w:lineRule="exact"/>
              <w:ind w:firstLine="211" w:firstLineChars="100"/>
              <w:rPr>
                <w:rStyle w:val="41"/>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41"/>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14:paraId="2251F52B">
            <w:pPr>
              <w:pStyle w:val="25"/>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本项目无履约保证金。</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详见招标文件第12页，第7点。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6"/>
                <w:rFonts w:hint="eastAsia" w:ascii="宋体" w:hAnsi="宋体" w:cs="宋体"/>
                <w:color w:val="auto"/>
                <w:sz w:val="22"/>
                <w:szCs w:val="22"/>
                <w:highlight w:val="none"/>
              </w:rPr>
              <w:t>www.creditchina.gov.cn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6"/>
                <w:rFonts w:hint="eastAsia" w:ascii="宋体" w:hAnsi="宋体" w:cs="宋体"/>
                <w:color w:val="auto"/>
                <w:sz w:val="22"/>
                <w:szCs w:val="22"/>
                <w:highlight w:val="none"/>
              </w:rPr>
              <w:t>www.ccgp.gov.cn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2EF156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4140E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EAEBCB6">
            <w:pPr>
              <w:spacing w:line="360" w:lineRule="exact"/>
              <w:jc w:val="center"/>
              <w:rPr>
                <w:rFonts w:ascii="宋体" w:hAnsi="宋体" w:cs="仿宋"/>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161B36DA">
            <w:pPr>
              <w:spacing w:line="360" w:lineRule="exact"/>
              <w:rPr>
                <w:rFonts w:ascii="宋体" w:hAnsi="宋体" w:cs="仿宋"/>
                <w:b/>
                <w:bCs/>
                <w:color w:val="auto"/>
                <w:sz w:val="22"/>
                <w:szCs w:val="22"/>
                <w:highlight w:val="none"/>
              </w:rPr>
            </w:pPr>
            <w:r>
              <w:rPr>
                <w:rFonts w:hint="eastAsia" w:ascii="宋体" w:hAnsi="宋体" w:cs="仿宋"/>
                <w:b/>
                <w:bCs/>
                <w:color w:val="auto"/>
                <w:sz w:val="22"/>
                <w:szCs w:val="22"/>
                <w:highlight w:val="none"/>
              </w:rPr>
              <w:t xml:space="preserve">1、扶持中小企业（监狱企业、残疾人福利性单位）： </w:t>
            </w:r>
          </w:p>
          <w:p w14:paraId="5C729768">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（1）根据工信部等部委发布的《关于印发中小企业划型标准规定的通知》（工信部联企业〔2011〕300号），本项目属于</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hint="eastAsia"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工业（包括采矿业，制造业，电力、热力、燃气及水生产和供应业），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物业管理，</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 xml:space="preserve">其他未列明行业（包括科学研究和技术服务业，水利、环境和公共设施管理业，居民服务、修理和其他服务业，社会工作，文化、体育和娱乐业等） </w:t>
            </w:r>
            <w:r>
              <w:rPr>
                <w:rFonts w:hint="eastAsia" w:ascii="宋体" w:hAnsi="宋体" w:cs="仿宋"/>
                <w:color w:val="auto"/>
                <w:sz w:val="22"/>
                <w:szCs w:val="22"/>
                <w:highlight w:val="none"/>
              </w:rPr>
              <w:t xml:space="preserve"> 行业。</w:t>
            </w:r>
          </w:p>
          <w:p w14:paraId="0A18C1E5">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09222D97">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2.1.是否为预留份额项目：</w:t>
            </w:r>
          </w:p>
          <w:p w14:paraId="246906CF">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仿宋"/>
                <w:color w:val="auto"/>
                <w:sz w:val="22"/>
                <w:szCs w:val="22"/>
                <w:highlight w:val="none"/>
              </w:rPr>
              <w:t xml:space="preserve"> </w:t>
            </w:r>
            <w:r>
              <w:rPr>
                <w:rFonts w:hint="eastAsia" w:ascii="宋体" w:hAnsi="宋体" w:cs="仿宋"/>
                <w:color w:val="auto"/>
                <w:sz w:val="22"/>
                <w:szCs w:val="22"/>
                <w:highlight w:val="none"/>
              </w:rPr>
              <w:t>本项目为预留份额项目，专门面向中小企业采购。</w:t>
            </w:r>
          </w:p>
          <w:p w14:paraId="7E97F8D2">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本项目为非预留份额项目、非专门面向中小企业的项目</w:t>
            </w:r>
          </w:p>
          <w:p w14:paraId="56B60DE0">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10</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 </w:t>
            </w:r>
            <w:r>
              <w:rPr>
                <w:rFonts w:hint="eastAsia" w:ascii="宋体" w:hAnsi="宋体" w:cs="仿宋"/>
                <w:color w:val="auto"/>
                <w:sz w:val="22"/>
                <w:szCs w:val="22"/>
                <w:highlight w:val="none"/>
              </w:rPr>
              <w:t>%（3%-5%）作为其价格分。</w:t>
            </w:r>
          </w:p>
          <w:p w14:paraId="0CD135D7">
            <w:pPr>
              <w:spacing w:line="360" w:lineRule="exact"/>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接受大中型企业与小微企业组成联合体、</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仿宋"/>
                <w:color w:val="auto"/>
                <w:sz w:val="22"/>
                <w:szCs w:val="22"/>
                <w:highlight w:val="none"/>
                <w:u w:val="single"/>
              </w:rPr>
              <w:t xml:space="preserve">4 </w:t>
            </w:r>
            <w:r>
              <w:rPr>
                <w:rFonts w:hint="eastAsia" w:ascii="宋体" w:hAnsi="宋体" w:cs="仿宋"/>
                <w:color w:val="auto"/>
                <w:sz w:val="22"/>
                <w:szCs w:val="22"/>
                <w:highlight w:val="none"/>
              </w:rPr>
              <w:t>%（4%-6%），工程项目为</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%（1%—2%）</w:t>
            </w:r>
            <w:r>
              <w:rPr>
                <w:rFonts w:hint="eastAsia" w:ascii="宋体" w:hAnsi="宋体" w:cs="仿宋"/>
                <w:color w:val="auto"/>
                <w:sz w:val="22"/>
                <w:szCs w:val="22"/>
                <w:highlight w:val="none"/>
              </w:rPr>
              <w:t>的扣除，用扣除后的价格参加评审。</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 xml:space="preserve"> %（1%—2%）作为其价格分。</w:t>
            </w:r>
          </w:p>
          <w:p w14:paraId="7D0BDA9D">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2.2组成联合体或者接受分包的小微企业与联合体内其他企业、分包企业之间存在直接控股、管理关系的，不享受价格扣除优惠政策。</w:t>
            </w:r>
          </w:p>
          <w:p w14:paraId="3092FEDE">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2.3价格扣除比例或者价格分加分比例对小型企业和微型企业同等对待，不作区分。</w:t>
            </w:r>
          </w:p>
          <w:p w14:paraId="4403A703">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E742B0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14:paraId="4214027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D65782B">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77E6660E">
            <w:pPr>
              <w:spacing w:line="360" w:lineRule="exact"/>
              <w:rPr>
                <w:rFonts w:ascii="宋体" w:hAnsi="宋体" w:cs="仿宋"/>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14:paraId="2B117C85">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单一产品或核心产品为：。</w:t>
            </w:r>
            <w:r>
              <w:rPr>
                <w:rFonts w:hint="eastAsia" w:ascii="宋体" w:hAnsi="宋体" w:cs="宋体"/>
                <w:b/>
                <w:snapToGrid w:val="0"/>
                <w:color w:val="auto"/>
                <w:szCs w:val="22"/>
                <w:highlight w:val="none"/>
              </w:rPr>
              <w:sym w:font="Wingdings" w:char="00FE"/>
            </w:r>
            <w:r>
              <w:rPr>
                <w:rFonts w:hint="eastAsia" w:ascii="宋体" w:hAnsi="宋体" w:cs="宋体"/>
                <w:color w:val="auto"/>
                <w:szCs w:val="22"/>
                <w:highlight w:val="none"/>
              </w:rPr>
              <w:t>非单一产品采购项目，采购人应当根据采购项目技术构成、产品价格比重等合理确定核心产品，并在采购文件中载明。本项目核心产品：</w:t>
            </w:r>
            <w:r>
              <w:rPr>
                <w:rFonts w:hint="eastAsia" w:ascii="宋体" w:hAnsi="宋体" w:cs="宋体"/>
                <w:color w:val="auto"/>
                <w:szCs w:val="22"/>
                <w:highlight w:val="none"/>
                <w:u w:val="single"/>
                <w:lang w:val="en-US" w:eastAsia="zh-CN"/>
              </w:rPr>
              <w:t xml:space="preserve">  无   </w:t>
            </w:r>
            <w:r>
              <w:rPr>
                <w:rFonts w:hint="eastAsia" w:ascii="宋体" w:hAnsi="宋体" w:cs="宋体"/>
                <w:color w:val="auto"/>
                <w:szCs w:val="22"/>
                <w:highlight w:val="none"/>
              </w:rPr>
              <w:t>。</w:t>
            </w:r>
          </w:p>
          <w:p w14:paraId="7222845E">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服务类。</w:t>
            </w:r>
          </w:p>
        </w:tc>
      </w:tr>
      <w:tr w14:paraId="2B040E60">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BA599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C8E68A5">
            <w:pPr>
              <w:spacing w:line="360" w:lineRule="exact"/>
              <w:jc w:val="center"/>
              <w:rPr>
                <w:rFonts w:ascii="宋体" w:hAnsi="宋体" w:cs="宋体"/>
                <w:color w:val="auto"/>
                <w:sz w:val="22"/>
                <w:szCs w:val="22"/>
                <w:highlight w:val="none"/>
              </w:rPr>
            </w:pPr>
            <w:r>
              <w:rPr>
                <w:rFonts w:hint="eastAsia" w:hAnsi="宋体"/>
                <w:color w:val="auto"/>
                <w:sz w:val="22"/>
                <w:szCs w:val="22"/>
                <w:highlight w:val="none"/>
              </w:rPr>
              <w:t>视频演示</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9B21AEB">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Arial"/>
                <w:color w:val="auto"/>
                <w:sz w:val="22"/>
                <w:szCs w:val="22"/>
                <w:highlight w:val="none"/>
              </w:rPr>
              <w:t>A</w:t>
            </w:r>
            <w:r>
              <w:rPr>
                <w:rFonts w:hint="eastAsia" w:ascii="宋体" w:hAnsi="宋体"/>
                <w:color w:val="auto"/>
                <w:sz w:val="22"/>
                <w:szCs w:val="22"/>
                <w:highlight w:val="none"/>
              </w:rPr>
              <w:t>不组织。</w:t>
            </w:r>
          </w:p>
          <w:p w14:paraId="6280926C">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ascii="宋体" w:hAnsi="宋体"/>
                <w:color w:val="auto"/>
                <w:sz w:val="22"/>
                <w:szCs w:val="22"/>
                <w:highlight w:val="none"/>
              </w:rPr>
              <w:t>B组织。</w:t>
            </w:r>
          </w:p>
          <w:p w14:paraId="4CFE088E">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(1)在评标时安排每个投标人进行演示。每个投标人时间不超过15分钟,演示次序以响应文件解密时间先后次序为准，演示人员不超过1人，演示结束后按要求解答评审小组提问。</w:t>
            </w:r>
          </w:p>
          <w:p w14:paraId="53EB0FBB">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(2）演示可选择以下其中一种方式:</w:t>
            </w:r>
          </w:p>
          <w:p w14:paraId="45CD0690">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一:以视频播放形式讲解演示。视频需在真实系统平台上录制，视频格式以常规的媒体播放格式放入U盘并加密，演示U盘可以顺丰或EMS邮寄形式在响应文件递交截止时间前寄送至采购文件规定的开标地点（拒绝到付)，演示U盘应当密封包装并在包装上标注演示U盘、项目名称、标项、供应商名称并加盖公章，演示文件寄送地点:</w:t>
            </w:r>
            <w:r>
              <w:rPr>
                <w:rFonts w:hint="eastAsia" w:ascii="宋体" w:hAnsi="宋体" w:cs="仿宋"/>
                <w:bCs/>
                <w:color w:val="auto"/>
                <w:sz w:val="22"/>
                <w:szCs w:val="22"/>
                <w:highlight w:val="none"/>
                <w:u w:val="single"/>
              </w:rPr>
              <w:t>温州市瓯海区南塘一组团1幢（商务楼）1504室</w:t>
            </w:r>
            <w:r>
              <w:rPr>
                <w:rFonts w:hint="eastAsia" w:ascii="宋体" w:hAnsi="宋体" w:cs="仿宋"/>
                <w:bCs/>
                <w:color w:val="auto"/>
                <w:sz w:val="22"/>
                <w:szCs w:val="22"/>
                <w:highlight w:val="none"/>
              </w:rPr>
              <w:t>。或者将视频文件压缩加密后，在规定的递交响应文件截止时间前发送至指定邮箱</w:t>
            </w:r>
            <w:r>
              <w:rPr>
                <w:rFonts w:hint="eastAsia" w:ascii="宋体" w:hAnsi="宋体" w:cs="仿宋"/>
                <w:bCs/>
                <w:color w:val="auto"/>
                <w:sz w:val="22"/>
                <w:szCs w:val="22"/>
                <w:highlight w:val="none"/>
                <w:u w:val="single"/>
              </w:rPr>
              <w:t>41396739@qq.com</w:t>
            </w:r>
            <w:r>
              <w:rPr>
                <w:rFonts w:hint="eastAsia" w:ascii="宋体" w:hAnsi="宋体" w:cs="仿宋"/>
                <w:bCs/>
                <w:color w:val="auto"/>
                <w:sz w:val="22"/>
                <w:szCs w:val="22"/>
                <w:highlight w:val="none"/>
              </w:rPr>
              <w:t>。</w:t>
            </w:r>
          </w:p>
          <w:p w14:paraId="28CC1DF5">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二:开标现场讲解演示。现场讲解地点为温州市瓯海区南塘一组团1幢（商务楼）1504室，采购人和采购代理机构提供投影设备，讲解演示所用电脑等设备由投标人自备。现场讲解演示人员进场时提供讲解人员名单（加盖公章）及身份证明，否则不得讲解演示。</w:t>
            </w:r>
          </w:p>
          <w:p w14:paraId="4F684187">
            <w:pPr>
              <w:spacing w:line="360" w:lineRule="exact"/>
              <w:rPr>
                <w:rFonts w:ascii="宋体" w:hAnsi="宋体" w:cs="宋体"/>
                <w:color w:val="auto"/>
                <w:sz w:val="22"/>
                <w:highlight w:val="none"/>
              </w:rPr>
            </w:pPr>
            <w:r>
              <w:rPr>
                <w:rFonts w:hint="eastAsia" w:ascii="宋体" w:hAnsi="宋体" w:cs="仿宋"/>
                <w:bCs/>
                <w:color w:val="auto"/>
                <w:sz w:val="22"/>
                <w:szCs w:val="22"/>
                <w:highlight w:val="none"/>
              </w:rPr>
              <w:t>（3）演示内根据评分标准要求演示。</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采购代理服务费均根据国家计委印发的《招标代理服务收费管理暂行办法》计价格【2002】1980号文（货物类）的规定按标准计算后下浮</w:t>
            </w:r>
            <w:r>
              <w:rPr>
                <w:rFonts w:hint="eastAsia" w:ascii="宋体" w:hAnsi="宋体" w:cs="宋体"/>
                <w:bCs/>
                <w:color w:val="auto"/>
                <w:szCs w:val="22"/>
                <w:highlight w:val="none"/>
                <w:u w:val="single"/>
                <w:lang w:val="en-US" w:eastAsia="zh-CN"/>
              </w:rPr>
              <w:t>22</w:t>
            </w:r>
            <w:r>
              <w:rPr>
                <w:rFonts w:hint="eastAsia" w:ascii="宋体" w:hAnsi="宋体" w:cs="宋体"/>
                <w:bCs/>
                <w:color w:val="auto"/>
                <w:szCs w:val="22"/>
                <w:highlight w:val="none"/>
                <w:u w:val="single"/>
              </w:rPr>
              <w:t>%收取（以预算金额作为计算基准）（最低不低于￥2500元）。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14:paraId="24774659">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17862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CD1B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加大支持科技创新力度</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C9329AF">
            <w:pPr>
              <w:spacing w:line="360" w:lineRule="exact"/>
              <w:rPr>
                <w:rFonts w:ascii="宋体" w:hAnsi="宋体" w:cs="宋体"/>
                <w:color w:val="auto"/>
                <w:sz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号文的相关规定，</w:t>
            </w:r>
            <w:r>
              <w:rPr>
                <w:rFonts w:ascii="宋体" w:hAnsi="宋体" w:cs="宋体"/>
                <w:color w:val="auto"/>
                <w:sz w:val="22"/>
                <w:szCs w:val="22"/>
                <w:highlight w:val="none"/>
              </w:rPr>
              <w:t>对省级以上主管部门认定的首台套产品，自纳入《省推广应用指导目录》起三年内参加政府采购活动，视同已具备相应销售业绩，业绩分为满分。</w:t>
            </w:r>
          </w:p>
        </w:tc>
      </w:tr>
    </w:tbl>
    <w:p w14:paraId="30EEA5E5">
      <w:pPr>
        <w:pStyle w:val="4"/>
        <w:spacing w:line="680" w:lineRule="exact"/>
        <w:jc w:val="center"/>
        <w:rPr>
          <w:rFonts w:ascii="宋体" w:hAnsi="宋体" w:eastAsia="宋体" w:cs="宋体"/>
          <w:color w:val="auto"/>
          <w:sz w:val="28"/>
          <w:szCs w:val="28"/>
          <w:highlight w:val="none"/>
        </w:rPr>
      </w:pPr>
      <w:bookmarkStart w:id="31" w:name="_Toc22008"/>
      <w:r>
        <w:rPr>
          <w:rFonts w:hint="eastAsia" w:ascii="宋体" w:hAnsi="宋体" w:eastAsia="宋体" w:cs="宋体"/>
          <w:color w:val="auto"/>
          <w:sz w:val="28"/>
          <w:szCs w:val="28"/>
          <w:highlight w:val="none"/>
        </w:rPr>
        <w:t>一、 说   明</w:t>
      </w:r>
      <w:bookmarkEnd w:id="31"/>
    </w:p>
    <w:p w14:paraId="1F7D809F">
      <w:pPr>
        <w:tabs>
          <w:tab w:val="left" w:pos="360"/>
        </w:tabs>
        <w:spacing w:line="440" w:lineRule="exact"/>
        <w:ind w:left="550" w:hanging="550" w:hangingChars="250"/>
        <w:rPr>
          <w:rFonts w:ascii="宋体" w:hAnsi="宋体" w:cs="宋体"/>
          <w:color w:val="auto"/>
          <w:sz w:val="22"/>
          <w:szCs w:val="22"/>
          <w:highlight w:val="none"/>
        </w:rPr>
      </w:pPr>
      <w:bookmarkStart w:id="32"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3" w:name="_Toc19066"/>
      <w:bookmarkStart w:id="34" w:name="_Toc3235"/>
      <w:bookmarkStart w:id="35" w:name="_Toc31546"/>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3"/>
      <w:bookmarkEnd w:id="34"/>
      <w:bookmarkEnd w:id="35"/>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4"/>
        <w:spacing w:line="680" w:lineRule="exact"/>
        <w:jc w:val="center"/>
        <w:rPr>
          <w:rFonts w:ascii="宋体" w:hAnsi="宋体" w:eastAsia="宋体" w:cs="宋体"/>
          <w:color w:val="auto"/>
          <w:sz w:val="28"/>
          <w:szCs w:val="28"/>
          <w:highlight w:val="none"/>
        </w:rPr>
      </w:pPr>
      <w:bookmarkStart w:id="36" w:name="_Toc29996"/>
      <w:r>
        <w:rPr>
          <w:rFonts w:hint="eastAsia" w:ascii="宋体" w:hAnsi="宋体" w:eastAsia="宋体" w:cs="宋体"/>
          <w:color w:val="auto"/>
          <w:sz w:val="28"/>
          <w:szCs w:val="28"/>
          <w:highlight w:val="none"/>
        </w:rPr>
        <w:t>二、 招标文件</w:t>
      </w:r>
      <w:bookmarkEnd w:id="32"/>
      <w:bookmarkEnd w:id="36"/>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4"/>
        <w:spacing w:line="680" w:lineRule="exact"/>
        <w:ind w:firstLine="420"/>
        <w:jc w:val="center"/>
        <w:rPr>
          <w:rFonts w:ascii="宋体" w:hAnsi="宋体" w:eastAsia="宋体" w:cs="宋体"/>
          <w:color w:val="auto"/>
          <w:sz w:val="28"/>
          <w:szCs w:val="28"/>
          <w:highlight w:val="none"/>
        </w:rPr>
      </w:pPr>
      <w:bookmarkStart w:id="37" w:name="_Toc3381"/>
      <w:bookmarkStart w:id="38" w:name="_Toc230773777"/>
      <w:r>
        <w:rPr>
          <w:rFonts w:hint="eastAsia" w:ascii="宋体" w:hAnsi="宋体" w:eastAsia="宋体" w:cs="宋体"/>
          <w:color w:val="auto"/>
          <w:sz w:val="28"/>
          <w:szCs w:val="28"/>
          <w:highlight w:val="none"/>
        </w:rPr>
        <w:t>三、 投标文件的编制</w:t>
      </w:r>
      <w:bookmarkEnd w:id="37"/>
      <w:bookmarkEnd w:id="38"/>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投标人企业法人有效营业执照（或事业法人登记证书或其它工商等登记证明材料，自然人提供身份证)复制件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w:t>
            </w:r>
            <w:r>
              <w:rPr>
                <w:rFonts w:hint="eastAsia" w:ascii="宋体" w:hAnsi="宋体" w:cs="宋体"/>
                <w:color w:val="auto"/>
                <w:sz w:val="22"/>
                <w:szCs w:val="22"/>
                <w:highlight w:val="none"/>
                <w:lang w:val="en-US" w:eastAsia="zh-CN"/>
              </w:rPr>
              <w:t>市场监管</w:t>
            </w:r>
            <w:r>
              <w:rPr>
                <w:rFonts w:hint="eastAsia" w:ascii="宋体" w:hAnsi="宋体" w:cs="宋体"/>
                <w:color w:val="auto"/>
                <w:sz w:val="22"/>
                <w:szCs w:val="22"/>
                <w:highlight w:val="none"/>
              </w:rPr>
              <w:t>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1D9E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5511519">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7449" w:type="dxa"/>
            <w:vAlign w:val="center"/>
          </w:tcPr>
          <w:p w14:paraId="7A3D4965">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投标人具有有效的《医疗器械经营许可证》（如适用，《医疗器械经营监督管理办法（总局54号令）》另有规定的，从其规定）</w:t>
            </w:r>
          </w:p>
        </w:tc>
        <w:tc>
          <w:tcPr>
            <w:tcW w:w="1440" w:type="dxa"/>
          </w:tcPr>
          <w:p w14:paraId="0DEEEA60">
            <w:pPr>
              <w:autoSpaceDE w:val="0"/>
              <w:autoSpaceDN w:val="0"/>
              <w:adjustRightInd w:val="0"/>
              <w:snapToGrid w:val="0"/>
              <w:spacing w:line="440" w:lineRule="exact"/>
              <w:jc w:val="center"/>
              <w:rPr>
                <w:rFonts w:hint="eastAsia" w:ascii="宋体" w:hAnsi="宋体" w:cs="宋体"/>
                <w:color w:val="auto"/>
                <w:sz w:val="22"/>
                <w:szCs w:val="22"/>
                <w:highlight w:val="none"/>
              </w:rPr>
            </w:pPr>
          </w:p>
        </w:tc>
      </w:tr>
      <w:tr w14:paraId="12D1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8AA1596">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7449" w:type="dxa"/>
            <w:vAlign w:val="top"/>
          </w:tcPr>
          <w:p w14:paraId="567BE273">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w:t>
            </w:r>
          </w:p>
        </w:tc>
        <w:tc>
          <w:tcPr>
            <w:tcW w:w="1440" w:type="dxa"/>
            <w:vAlign w:val="top"/>
          </w:tcPr>
          <w:p w14:paraId="59AC2964">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76E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5510F788">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7449" w:type="dxa"/>
            <w:vAlign w:val="top"/>
          </w:tcPr>
          <w:p w14:paraId="2A11F9F0">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440" w:type="dxa"/>
            <w:vAlign w:val="top"/>
          </w:tcPr>
          <w:p w14:paraId="21EAF54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133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106C937">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7449" w:type="dxa"/>
            <w:vAlign w:val="top"/>
          </w:tcPr>
          <w:p w14:paraId="5C12CAB9">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440" w:type="dxa"/>
            <w:vAlign w:val="top"/>
          </w:tcPr>
          <w:p w14:paraId="5809731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7350" w:type="dxa"/>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cs="宋体"/>
                <w:color w:val="auto"/>
                <w:sz w:val="22"/>
                <w:highlight w:val="none"/>
              </w:rPr>
              <w:t>货物成套供货清单</w:t>
            </w:r>
          </w:p>
        </w:tc>
        <w:tc>
          <w:tcPr>
            <w:tcW w:w="1516" w:type="dxa"/>
          </w:tcPr>
          <w:p w14:paraId="41B2EA6F">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附件六</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rPr>
              <w:t>4</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附件七</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007DE6D4">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b/>
          <w:color w:val="auto"/>
          <w:sz w:val="22"/>
          <w:szCs w:val="22"/>
          <w:highlight w:val="none"/>
        </w:rPr>
        <w:t>投标报价包括：</w:t>
      </w:r>
      <w:r>
        <w:rPr>
          <w:rFonts w:hint="eastAsia" w:ascii="宋体" w:hAnsi="宋体" w:cs="宋体"/>
          <w:b/>
          <w:color w:val="auto"/>
          <w:sz w:val="22"/>
          <w:szCs w:val="22"/>
          <w:highlight w:val="none"/>
        </w:rPr>
        <w:t>完成本项目所需的所有费用，包括</w:t>
      </w:r>
      <w:r>
        <w:rPr>
          <w:rFonts w:hint="eastAsia" w:ascii="新宋体" w:hAnsi="新宋体" w:eastAsia="新宋体" w:cs="新宋体"/>
          <w:b/>
          <w:color w:val="auto"/>
          <w:sz w:val="22"/>
          <w:szCs w:val="22"/>
          <w:highlight w:val="none"/>
        </w:rPr>
        <w:t>设备租赁、试剂、消耗品、保修费</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采购代理服务费等全部费用</w:t>
      </w:r>
      <w:r>
        <w:rPr>
          <w:rFonts w:hint="eastAsia" w:ascii="宋体" w:hAnsi="宋体"/>
          <w:b/>
          <w:color w:val="auto"/>
          <w:sz w:val="22"/>
          <w:szCs w:val="22"/>
          <w:highlight w:val="none"/>
        </w:rPr>
        <w:t>。</w:t>
      </w:r>
      <w:r>
        <w:rPr>
          <w:rFonts w:hint="eastAsia" w:hAnsi="宋体" w:cs="宋体"/>
          <w:color w:val="auto"/>
          <w:sz w:val="22"/>
          <w:szCs w:val="22"/>
          <w:highlight w:val="none"/>
        </w:rPr>
        <w:t>投标人应根据上述因素自行考虑含入投标总价。</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9"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4"/>
        <w:spacing w:line="680" w:lineRule="exact"/>
        <w:jc w:val="center"/>
        <w:rPr>
          <w:rFonts w:ascii="宋体" w:hAnsi="宋体" w:eastAsia="宋体" w:cs="宋体"/>
          <w:color w:val="auto"/>
          <w:sz w:val="28"/>
          <w:szCs w:val="28"/>
          <w:highlight w:val="none"/>
        </w:rPr>
      </w:pPr>
      <w:bookmarkStart w:id="40" w:name="_Toc17052"/>
      <w:r>
        <w:rPr>
          <w:rFonts w:hint="eastAsia" w:ascii="宋体" w:hAnsi="宋体" w:eastAsia="宋体" w:cs="宋体"/>
          <w:color w:val="auto"/>
          <w:sz w:val="28"/>
          <w:szCs w:val="28"/>
          <w:highlight w:val="none"/>
        </w:rPr>
        <w:t>四、 投标文件的递交</w:t>
      </w:r>
      <w:bookmarkEnd w:id="39"/>
      <w:bookmarkEnd w:id="40"/>
    </w:p>
    <w:p w14:paraId="2E8B7CDD">
      <w:pPr>
        <w:spacing w:line="440" w:lineRule="exact"/>
        <w:rPr>
          <w:rFonts w:ascii="宋体" w:hAnsi="宋体" w:cs="宋体"/>
          <w:b/>
          <w:bCs/>
          <w:color w:val="auto"/>
          <w:sz w:val="22"/>
          <w:szCs w:val="22"/>
          <w:highlight w:val="none"/>
        </w:rPr>
      </w:pPr>
      <w:bookmarkStart w:id="41"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4"/>
        <w:spacing w:line="680" w:lineRule="exact"/>
        <w:jc w:val="center"/>
        <w:rPr>
          <w:rFonts w:ascii="宋体" w:hAnsi="宋体" w:eastAsia="宋体" w:cs="宋体"/>
          <w:color w:val="auto"/>
          <w:sz w:val="28"/>
          <w:szCs w:val="28"/>
          <w:highlight w:val="none"/>
        </w:rPr>
      </w:pPr>
      <w:bookmarkStart w:id="42" w:name="_Toc20114"/>
      <w:r>
        <w:rPr>
          <w:rFonts w:hint="eastAsia" w:ascii="宋体" w:hAnsi="宋体" w:eastAsia="宋体" w:cs="宋体"/>
          <w:color w:val="auto"/>
          <w:sz w:val="28"/>
          <w:szCs w:val="28"/>
          <w:highlight w:val="none"/>
        </w:rPr>
        <w:t>五、 开标和评标</w:t>
      </w:r>
      <w:bookmarkEnd w:id="41"/>
      <w:bookmarkEnd w:id="42"/>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3119ED92">
      <w:pPr>
        <w:snapToGrid/>
        <w:spacing w:line="440" w:lineRule="exact"/>
        <w:ind w:firstLine="0" w:firstLineChars="0"/>
        <w:rPr>
          <w:rFonts w:hint="eastAsia" w:ascii="宋体" w:hAnsi="宋体" w:cs="宋体"/>
          <w:b/>
          <w:color w:val="auto"/>
          <w:sz w:val="22"/>
          <w:szCs w:val="22"/>
          <w:highlight w:val="none"/>
        </w:rPr>
      </w:pPr>
      <w:bookmarkStart w:id="43" w:name="_Toc230773780"/>
      <w:r>
        <w:rPr>
          <w:rFonts w:hint="eastAsia" w:ascii="宋体" w:hAnsi="宋体" w:cs="宋体"/>
          <w:b/>
          <w:color w:val="auto"/>
          <w:sz w:val="22"/>
          <w:szCs w:val="22"/>
          <w:highlight w:val="none"/>
          <w:lang w:val="en-US" w:eastAsia="zh-CN"/>
        </w:rPr>
        <w:t xml:space="preserve">7.1  </w:t>
      </w:r>
      <w:r>
        <w:rPr>
          <w:rFonts w:hint="eastAsia" w:ascii="宋体" w:hAnsi="宋体" w:cs="宋体"/>
          <w:b/>
          <w:color w:val="auto"/>
          <w:sz w:val="22"/>
          <w:szCs w:val="22"/>
          <w:highlight w:val="none"/>
        </w:rPr>
        <w:t>在资格审查时，如发现下列情形之一的，投标文件将被视为无效：</w:t>
      </w:r>
    </w:p>
    <w:p w14:paraId="70AF389E">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单位负责人为同一人或者存在直接控股、管理关系的不同供应商参加同一合同项下的政府采购活动的（均无效）</w:t>
      </w:r>
      <w:r>
        <w:rPr>
          <w:rFonts w:hint="eastAsia" w:ascii="宋体" w:hAnsi="宋体" w:eastAsia="宋体" w:cs="宋体"/>
          <w:color w:val="auto"/>
          <w:sz w:val="22"/>
          <w:szCs w:val="22"/>
          <w:highlight w:val="none"/>
        </w:rPr>
        <w:t>；</w:t>
      </w:r>
    </w:p>
    <w:p w14:paraId="0207F8B9">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为采购项目提供整体设计、规范编制或者项目管理、监理、检测等服务的供应商再参加该采购项目的其他采购活动的</w:t>
      </w:r>
      <w:r>
        <w:rPr>
          <w:rFonts w:hint="eastAsia" w:ascii="宋体" w:hAnsi="宋体" w:eastAsia="宋体" w:cs="宋体"/>
          <w:color w:val="auto"/>
          <w:sz w:val="22"/>
          <w:szCs w:val="22"/>
          <w:highlight w:val="none"/>
        </w:rPr>
        <w:t xml:space="preserve">； </w:t>
      </w:r>
    </w:p>
    <w:p w14:paraId="05045B48">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提供的有效的资格证明材料或材料不全的，或者不具备招标文件中规定的资格要求的</w:t>
      </w:r>
      <w:r>
        <w:rPr>
          <w:rFonts w:hint="eastAsia" w:ascii="宋体" w:hAnsi="宋体" w:eastAsia="宋体" w:cs="宋体"/>
          <w:color w:val="auto"/>
          <w:sz w:val="22"/>
          <w:szCs w:val="22"/>
          <w:highlight w:val="none"/>
        </w:rPr>
        <w:t>；</w:t>
      </w:r>
    </w:p>
    <w:p w14:paraId="21EC7AF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资格文件出现投标报价的</w:t>
      </w:r>
      <w:r>
        <w:rPr>
          <w:rFonts w:hint="eastAsia" w:ascii="宋体" w:hAnsi="宋体" w:eastAsia="宋体" w:cs="宋体"/>
          <w:color w:val="auto"/>
          <w:sz w:val="22"/>
          <w:szCs w:val="22"/>
          <w:highlight w:val="none"/>
        </w:rPr>
        <w:t>；</w:t>
      </w:r>
    </w:p>
    <w:p w14:paraId="60FFCD76">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未有效提供法定代表人授权委托书或所载内容与本项目内容有异的</w:t>
      </w:r>
      <w:r>
        <w:rPr>
          <w:rFonts w:hint="eastAsia" w:ascii="宋体" w:hAnsi="宋体" w:eastAsia="宋体" w:cs="宋体"/>
          <w:color w:val="auto"/>
          <w:sz w:val="22"/>
          <w:szCs w:val="22"/>
          <w:highlight w:val="none"/>
        </w:rPr>
        <w:t>；</w:t>
      </w:r>
    </w:p>
    <w:p w14:paraId="1BD36987">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如以联合体形式参加政府采购活动的，未提供联合协议的</w:t>
      </w:r>
      <w:r>
        <w:rPr>
          <w:rFonts w:hint="eastAsia" w:ascii="宋体" w:hAnsi="宋体" w:eastAsia="宋体" w:cs="宋体"/>
          <w:color w:val="auto"/>
          <w:sz w:val="22"/>
          <w:szCs w:val="22"/>
          <w:highlight w:val="none"/>
        </w:rPr>
        <w:t>。</w:t>
      </w:r>
    </w:p>
    <w:p w14:paraId="391663CF">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.2  </w:t>
      </w:r>
      <w:r>
        <w:rPr>
          <w:rFonts w:hint="eastAsia" w:ascii="宋体" w:hAnsi="宋体" w:cs="宋体"/>
          <w:b/>
          <w:color w:val="auto"/>
          <w:sz w:val="22"/>
          <w:szCs w:val="22"/>
          <w:highlight w:val="none"/>
        </w:rPr>
        <w:t>在符合性审查、商务和技术评审时，如发现下列情形之一的，投标文件将被视为无效：</w:t>
      </w:r>
    </w:p>
    <w:p w14:paraId="097319CC">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bCs/>
          <w:color w:val="auto"/>
          <w:sz w:val="22"/>
          <w:szCs w:val="22"/>
          <w:highlight w:val="none"/>
          <w:u w:val="single"/>
        </w:rPr>
        <w:t>投标文件未按招标文件要求签署、盖章的</w:t>
      </w:r>
      <w:r>
        <w:rPr>
          <w:rFonts w:hint="eastAsia" w:ascii="宋体" w:hAnsi="宋体" w:eastAsia="宋体" w:cs="宋体"/>
          <w:color w:val="auto"/>
          <w:sz w:val="22"/>
          <w:szCs w:val="22"/>
          <w:highlight w:val="none"/>
        </w:rPr>
        <w:t>；</w:t>
      </w:r>
    </w:p>
    <w:p w14:paraId="46FA7E2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投标文件中承诺的投标有效期少于招标文件中规定的投标有效期的</w:t>
      </w:r>
      <w:r>
        <w:rPr>
          <w:rFonts w:hint="eastAsia" w:ascii="宋体" w:hAnsi="宋体" w:eastAsia="宋体" w:cs="宋体"/>
          <w:color w:val="auto"/>
          <w:sz w:val="22"/>
          <w:szCs w:val="22"/>
          <w:highlight w:val="none"/>
          <w:u w:val="single"/>
          <w:lang w:eastAsia="zh-CN"/>
        </w:rPr>
        <w:t>；</w:t>
      </w:r>
    </w:p>
    <w:p w14:paraId="22A57A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eastAsia="宋体" w:cs="宋体"/>
          <w:color w:val="auto"/>
          <w:sz w:val="22"/>
          <w:szCs w:val="22"/>
          <w:highlight w:val="none"/>
        </w:rPr>
        <w:t>；</w:t>
      </w:r>
    </w:p>
    <w:p w14:paraId="6B628A2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投标技术方案不明确，存在一个或一个以上备选（替代）投标方案的</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招标文件有要求的除外</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w:t>
      </w:r>
    </w:p>
    <w:p w14:paraId="5D3293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投标文件含有采购人不能接受的附加条件的</w:t>
      </w:r>
      <w:r>
        <w:rPr>
          <w:rFonts w:hint="eastAsia" w:ascii="宋体" w:hAnsi="宋体" w:eastAsia="宋体" w:cs="宋体"/>
          <w:color w:val="auto"/>
          <w:sz w:val="22"/>
          <w:szCs w:val="22"/>
          <w:highlight w:val="none"/>
        </w:rPr>
        <w:t>；</w:t>
      </w:r>
    </w:p>
    <w:p w14:paraId="189AD3E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商务技术文件中出现投标报价的</w:t>
      </w:r>
      <w:r>
        <w:rPr>
          <w:rFonts w:hint="eastAsia" w:ascii="宋体" w:hAnsi="宋体" w:eastAsia="宋体" w:cs="宋体"/>
          <w:color w:val="auto"/>
          <w:sz w:val="22"/>
          <w:szCs w:val="22"/>
          <w:highlight w:val="none"/>
        </w:rPr>
        <w:t>；</w:t>
      </w:r>
    </w:p>
    <w:p w14:paraId="3A49B35C">
      <w:pPr>
        <w:spacing w:line="440" w:lineRule="exact"/>
        <w:rPr>
          <w:rFonts w:hint="eastAsia" w:ascii="宋体" w:hAnsi="宋体" w:eastAsia="宋体" w:cs="宋体"/>
          <w:bCs/>
          <w:color w:val="auto"/>
          <w:sz w:val="22"/>
          <w:szCs w:val="22"/>
          <w:highlight w:val="none"/>
          <w:u w:val="single"/>
        </w:rPr>
      </w:pP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7</w:t>
      </w:r>
      <w:r>
        <w:rPr>
          <w:rFonts w:hint="eastAsia" w:ascii="宋体" w:hAnsi="宋体" w:cs="宋体"/>
          <w:bCs/>
          <w:color w:val="auto"/>
          <w:sz w:val="22"/>
          <w:szCs w:val="22"/>
          <w:highlight w:val="none"/>
        </w:rPr>
        <w:t>）</w:t>
      </w:r>
      <w:r>
        <w:rPr>
          <w:rFonts w:hint="eastAsia" w:ascii="宋体" w:hAnsi="宋体" w:eastAsia="宋体" w:cs="宋体"/>
          <w:bCs/>
          <w:color w:val="auto"/>
          <w:sz w:val="22"/>
          <w:szCs w:val="22"/>
          <w:highlight w:val="none"/>
          <w:u w:val="single"/>
        </w:rPr>
        <w:t>投标文件内容不全或关键字迹模糊无法辨认的</w:t>
      </w:r>
      <w:r>
        <w:rPr>
          <w:rFonts w:hint="eastAsia" w:ascii="宋体" w:hAnsi="宋体" w:eastAsia="宋体" w:cs="宋体"/>
          <w:bCs/>
          <w:color w:val="auto"/>
          <w:sz w:val="22"/>
          <w:szCs w:val="22"/>
          <w:highlight w:val="none"/>
          <w:u w:val="none"/>
        </w:rPr>
        <w:t>；</w:t>
      </w:r>
    </w:p>
    <w:p w14:paraId="20ECEA8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u w:val="single"/>
        </w:rPr>
        <w:t>法律、法规和招标文件规定的其他无效情形</w:t>
      </w:r>
      <w:r>
        <w:rPr>
          <w:rFonts w:hint="eastAsia" w:ascii="宋体" w:hAnsi="宋体" w:eastAsia="宋体" w:cs="宋体"/>
          <w:color w:val="auto"/>
          <w:sz w:val="22"/>
          <w:szCs w:val="22"/>
          <w:highlight w:val="none"/>
        </w:rPr>
        <w:t>。</w:t>
      </w:r>
    </w:p>
    <w:p w14:paraId="162EDB96">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.3  </w:t>
      </w:r>
      <w:r>
        <w:rPr>
          <w:rFonts w:hint="eastAsia" w:ascii="宋体" w:hAnsi="宋体" w:cs="宋体"/>
          <w:b/>
          <w:color w:val="auto"/>
          <w:sz w:val="22"/>
          <w:szCs w:val="22"/>
          <w:highlight w:val="none"/>
        </w:rPr>
        <w:t>在报价评审时，如发现下列情形之一的，投标文件将被视为无效：</w:t>
      </w:r>
    </w:p>
    <w:p w14:paraId="44DB5896">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u w:val="single"/>
          <w:lang w:val="zh-CN"/>
        </w:rPr>
        <w:t>投标报价超过招标文件中规定的预算金额或者最高限价的</w:t>
      </w:r>
      <w:r>
        <w:rPr>
          <w:rFonts w:hint="eastAsia" w:ascii="宋体" w:hAnsi="宋体" w:eastAsia="宋体" w:cs="宋体"/>
          <w:color w:val="auto"/>
          <w:sz w:val="22"/>
          <w:szCs w:val="22"/>
          <w:highlight w:val="none"/>
          <w:lang w:val="zh-CN"/>
        </w:rPr>
        <w:t>；</w:t>
      </w:r>
    </w:p>
    <w:p w14:paraId="067348D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u w:val="single"/>
          <w:lang w:val="zh-CN"/>
        </w:rPr>
        <w:t>投标文件出现不是唯一的、有选择性投标报价的</w:t>
      </w:r>
      <w:r>
        <w:rPr>
          <w:rFonts w:hint="eastAsia" w:ascii="宋体" w:hAnsi="宋体" w:eastAsia="宋体" w:cs="宋体"/>
          <w:color w:val="auto"/>
          <w:sz w:val="22"/>
          <w:szCs w:val="22"/>
          <w:highlight w:val="none"/>
          <w:lang w:val="zh-CN"/>
        </w:rPr>
        <w:t>；</w:t>
      </w:r>
    </w:p>
    <w:p w14:paraId="0032019B">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r>
        <w:rPr>
          <w:rFonts w:hint="eastAsia" w:ascii="宋体" w:hAnsi="宋体" w:eastAsia="宋体" w:cs="宋体"/>
          <w:color w:val="auto"/>
          <w:sz w:val="22"/>
          <w:szCs w:val="22"/>
          <w:highlight w:val="none"/>
          <w:u w:val="single"/>
          <w:lang w:val="zh-CN"/>
        </w:rPr>
        <w:t>投标人对根据修正原则修正后的报价不确认的</w:t>
      </w:r>
      <w:r>
        <w:rPr>
          <w:rFonts w:hint="eastAsia" w:ascii="宋体" w:hAnsi="宋体" w:eastAsia="宋体" w:cs="宋体"/>
          <w:color w:val="auto"/>
          <w:sz w:val="22"/>
          <w:szCs w:val="22"/>
          <w:highlight w:val="none"/>
          <w:lang w:val="zh-CN"/>
        </w:rPr>
        <w:t>；</w:t>
      </w:r>
    </w:p>
    <w:p w14:paraId="5BCACE64">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eastAsia="宋体" w:cs="宋体"/>
          <w:color w:val="auto"/>
          <w:sz w:val="22"/>
          <w:szCs w:val="22"/>
          <w:highlight w:val="none"/>
          <w:u w:val="single"/>
          <w:lang w:val="zh-CN"/>
        </w:rPr>
        <w:t>投标报价不符合招标文件规定要求进行报价的</w:t>
      </w:r>
      <w:r>
        <w:rPr>
          <w:rFonts w:hint="eastAsia" w:ascii="宋体" w:hAnsi="宋体" w:eastAsia="宋体" w:cs="宋体"/>
          <w:color w:val="auto"/>
          <w:sz w:val="22"/>
          <w:szCs w:val="22"/>
          <w:highlight w:val="none"/>
          <w:lang w:val="zh-CN"/>
        </w:rPr>
        <w:t>；</w:t>
      </w:r>
    </w:p>
    <w:p w14:paraId="1505742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eastAsia="宋体" w:cs="宋体"/>
          <w:color w:val="auto"/>
          <w:sz w:val="22"/>
          <w:szCs w:val="22"/>
          <w:highlight w:val="none"/>
          <w:u w:val="single"/>
          <w:lang w:val="zh-CN"/>
        </w:rPr>
        <w:t>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2DA9CFB2">
      <w:pPr>
        <w:tabs>
          <w:tab w:val="left" w:pos="1365"/>
        </w:tabs>
        <w:spacing w:line="440" w:lineRule="exact"/>
        <w:ind w:left="550" w:hanging="550" w:hangingChars="25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u w:val="single"/>
          <w:lang w:val="zh-CN"/>
        </w:rPr>
        <w:t>法律、法规和招标文件规定的其他无效情形</w:t>
      </w:r>
      <w:r>
        <w:rPr>
          <w:rFonts w:hint="eastAsia" w:ascii="宋体" w:hAnsi="宋体" w:eastAsia="宋体" w:cs="宋体"/>
          <w:color w:val="auto"/>
          <w:sz w:val="22"/>
          <w:szCs w:val="22"/>
          <w:highlight w:val="none"/>
          <w:lang w:val="zh-CN"/>
        </w:rPr>
        <w:t>。</w:t>
      </w:r>
    </w:p>
    <w:p w14:paraId="0A17427F">
      <w:pPr>
        <w:spacing w:line="440" w:lineRule="exact"/>
        <w:rPr>
          <w:rFonts w:hint="eastAsia" w:ascii="宋体" w:hAnsi="宋体" w:cs="宋体"/>
          <w:color w:val="auto"/>
          <w:sz w:val="22"/>
          <w:highlight w:val="none"/>
        </w:rPr>
      </w:pPr>
      <w:r>
        <w:rPr>
          <w:rFonts w:hint="eastAsia" w:ascii="宋体" w:hAnsi="宋体" w:cs="宋体"/>
          <w:b/>
          <w:color w:val="auto"/>
          <w:sz w:val="22"/>
          <w:szCs w:val="22"/>
          <w:highlight w:val="none"/>
          <w:lang w:val="en-US" w:eastAsia="zh-CN"/>
        </w:rPr>
        <w:t>7.4  出现</w:t>
      </w:r>
      <w:r>
        <w:rPr>
          <w:rFonts w:hint="eastAsia" w:ascii="宋体" w:hAnsi="宋体" w:eastAsia="宋体" w:cs="宋体"/>
          <w:b/>
          <w:color w:val="auto"/>
          <w:sz w:val="22"/>
          <w:szCs w:val="22"/>
          <w:highlight w:val="none"/>
          <w:lang w:val="en-US" w:eastAsia="zh-CN"/>
        </w:rPr>
        <w:t>下列</w:t>
      </w:r>
      <w:r>
        <w:rPr>
          <w:rFonts w:hint="eastAsia" w:ascii="宋体" w:hAnsi="宋体" w:eastAsia="宋体" w:cs="宋体"/>
          <w:b/>
          <w:color w:val="auto"/>
          <w:sz w:val="22"/>
          <w:szCs w:val="22"/>
          <w:highlight w:val="none"/>
        </w:rPr>
        <w:t>串通行为</w:t>
      </w:r>
      <w:r>
        <w:rPr>
          <w:rFonts w:hint="eastAsia" w:ascii="宋体" w:hAnsi="宋体" w:eastAsia="宋体" w:cs="宋体"/>
          <w:b/>
          <w:color w:val="auto"/>
          <w:sz w:val="22"/>
          <w:szCs w:val="22"/>
          <w:highlight w:val="none"/>
          <w:lang w:eastAsia="zh-CN"/>
        </w:rPr>
        <w:t>的，</w:t>
      </w:r>
      <w:r>
        <w:rPr>
          <w:rFonts w:hint="eastAsia" w:ascii="宋体" w:hAnsi="宋体" w:eastAsia="宋体" w:cs="宋体"/>
          <w:b/>
          <w:color w:val="auto"/>
          <w:sz w:val="22"/>
          <w:szCs w:val="22"/>
          <w:highlight w:val="none"/>
          <w:lang w:val="en-US" w:eastAsia="zh-CN"/>
        </w:rPr>
        <w:t>投标文件将被视为无效：</w:t>
      </w:r>
    </w:p>
    <w:p w14:paraId="16CA23C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不同投标人的投标文件内容存在三处（含）以上错误一致且无法合理解释的；</w:t>
      </w:r>
    </w:p>
    <w:p w14:paraId="57BCD81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2</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不同投标人联系人为同一人或不同联系人的联系电话一致且无法合理解释的；</w:t>
      </w:r>
    </w:p>
    <w:p w14:paraId="26EE1268">
      <w:pPr>
        <w:tabs>
          <w:tab w:val="left" w:pos="1365"/>
        </w:tabs>
        <w:spacing w:line="440" w:lineRule="exact"/>
        <w:ind w:left="550" w:hanging="550" w:hangingChars="250"/>
        <w:rPr>
          <w:rFonts w:hint="eastAsia" w:ascii="宋体" w:hAnsi="宋体" w:eastAsia="宋体" w:cs="宋体"/>
          <w:color w:val="auto"/>
          <w:sz w:val="22"/>
          <w:szCs w:val="22"/>
          <w:highlight w:val="none"/>
          <w:u w:val="single"/>
          <w:lang w:val="zh-CN" w:eastAsia="zh-CN"/>
        </w:rPr>
      </w:pPr>
      <w:r>
        <w:rPr>
          <w:rFonts w:hint="eastAsia" w:ascii="宋体" w:hAnsi="宋体" w:eastAsia="宋体" w:cs="宋体"/>
          <w:bCs w:val="0"/>
          <w:color w:val="auto"/>
          <w:sz w:val="22"/>
          <w:szCs w:val="22"/>
          <w:highlight w:val="none"/>
          <w:u w:val="none"/>
          <w:lang w:val="zh-CN" w:eastAsia="zh-CN"/>
        </w:rPr>
        <w:t>（3）</w:t>
      </w:r>
      <w:r>
        <w:rPr>
          <w:rFonts w:hint="eastAsia" w:ascii="宋体" w:hAnsi="宋体" w:eastAsia="宋体" w:cs="宋体"/>
          <w:color w:val="auto"/>
          <w:sz w:val="22"/>
          <w:szCs w:val="22"/>
          <w:highlight w:val="none"/>
          <w:u w:val="single"/>
          <w:lang w:val="zh-CN" w:eastAsia="zh-CN"/>
        </w:rPr>
        <w:t>参与同一个采购包(标项)的供应商存在下列情形之一的，其投标无效</w:t>
      </w:r>
      <w:r>
        <w:rPr>
          <w:rFonts w:hint="eastAsia" w:ascii="宋体" w:hAnsi="宋体" w:eastAsia="宋体" w:cs="宋体"/>
          <w:bCs w:val="0"/>
          <w:color w:val="auto"/>
          <w:sz w:val="22"/>
          <w:szCs w:val="22"/>
          <w:highlight w:val="none"/>
          <w:u w:val="single"/>
          <w:lang w:val="zh-CN" w:eastAsia="zh-CN"/>
        </w:rPr>
        <w:t>：</w:t>
      </w:r>
    </w:p>
    <w:p w14:paraId="63A76FFC">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①不同供应商的电子响应文件上传计算机的IP 地址、</w:t>
      </w:r>
      <w:r>
        <w:rPr>
          <w:rFonts w:hint="eastAsia" w:ascii="宋体" w:hAnsi="宋体" w:eastAsia="宋体" w:cs="宋体"/>
          <w:color w:val="auto"/>
          <w:sz w:val="22"/>
          <w:szCs w:val="22"/>
          <w:highlight w:val="none"/>
          <w:u w:val="single"/>
          <w:lang w:val="en-US" w:eastAsia="zh-CN"/>
        </w:rPr>
        <w:t>M</w:t>
      </w:r>
      <w:r>
        <w:rPr>
          <w:rFonts w:hint="eastAsia" w:ascii="宋体" w:hAnsi="宋体" w:eastAsia="宋体" w:cs="宋体"/>
          <w:color w:val="auto"/>
          <w:sz w:val="22"/>
          <w:szCs w:val="22"/>
          <w:highlight w:val="none"/>
          <w:u w:val="single"/>
          <w:lang w:val="zh-CN" w:eastAsia="zh-CN"/>
        </w:rPr>
        <w:t>AC地址、硬盘序列号等硬件信息相同的</w:t>
      </w:r>
      <w:r>
        <w:rPr>
          <w:rFonts w:hint="eastAsia" w:ascii="宋体" w:hAnsi="宋体" w:eastAsia="宋体" w:cs="宋体"/>
          <w:bCs w:val="0"/>
          <w:color w:val="auto"/>
          <w:sz w:val="22"/>
          <w:szCs w:val="22"/>
          <w:highlight w:val="none"/>
          <w:u w:val="single"/>
          <w:lang w:val="zh-CN" w:eastAsia="zh-CN"/>
        </w:rPr>
        <w:t>；</w:t>
      </w:r>
    </w:p>
    <w:p w14:paraId="509EFA8E">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②上传的电子响应文件若出现使用本项目其他响应供应商的数字证书加密的，或者加盖本项目其</w:t>
      </w:r>
    </w:p>
    <w:p w14:paraId="53801133">
      <w:pPr>
        <w:tabs>
          <w:tab w:val="left" w:pos="1365"/>
        </w:tabs>
        <w:spacing w:line="440" w:lineRule="exact"/>
        <w:ind w:left="553" w:leftChars="211" w:hanging="110" w:hangingChars="50"/>
        <w:rPr>
          <w:rFonts w:hint="eastAsia" w:ascii="宋体" w:hAnsi="宋体" w:eastAsia="宋体" w:cs="宋体"/>
          <w:bCs w:val="0"/>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他响应供应商的电子印章的</w:t>
      </w:r>
      <w:r>
        <w:rPr>
          <w:rFonts w:hint="eastAsia" w:ascii="宋体" w:hAnsi="宋体" w:eastAsia="宋体" w:cs="宋体"/>
          <w:bCs w:val="0"/>
          <w:color w:val="auto"/>
          <w:sz w:val="22"/>
          <w:szCs w:val="22"/>
          <w:highlight w:val="none"/>
          <w:u w:val="single"/>
          <w:lang w:val="zh-CN" w:eastAsia="zh-CN"/>
        </w:rPr>
        <w:t>；</w:t>
      </w:r>
    </w:p>
    <w:p w14:paraId="07AEDB12">
      <w:pPr>
        <w:spacing w:line="440" w:lineRule="exact"/>
        <w:rPr>
          <w:rFonts w:hint="default" w:ascii="宋体" w:hAnsi="宋体" w:eastAsia="宋体" w:cs="宋体"/>
          <w:color w:val="auto"/>
          <w:sz w:val="22"/>
          <w:highlight w:val="none"/>
          <w:u w:val="singl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val="en-US" w:eastAsia="zh-CN"/>
        </w:rPr>
        <w:t>法律、法规和招标文件规定的串通行为。</w:t>
      </w:r>
    </w:p>
    <w:p w14:paraId="0BFC8C78">
      <w:pPr>
        <w:tabs>
          <w:tab w:val="left" w:pos="1365"/>
        </w:tabs>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3B31ED22">
      <w:pPr>
        <w:tabs>
          <w:tab w:val="left" w:pos="1365"/>
        </w:tabs>
        <w:spacing w:line="440" w:lineRule="exact"/>
        <w:ind w:left="558" w:leftChars="4"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9. </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优化评审管理</w:t>
      </w:r>
    </w:p>
    <w:p w14:paraId="684AC442">
      <w:pPr>
        <w:tabs>
          <w:tab w:val="left" w:pos="1365"/>
        </w:tabs>
        <w:spacing w:line="440" w:lineRule="exact"/>
        <w:ind w:left="560" w:leftChars="4" w:hanging="552" w:hangingChars="250"/>
        <w:rPr>
          <w:rFonts w:hint="eastAsia" w:ascii="宋体" w:hAnsi="宋体"/>
          <w:b/>
          <w:color w:val="auto"/>
          <w:sz w:val="22"/>
          <w:highlight w:val="none"/>
        </w:rPr>
      </w:pPr>
      <w:r>
        <w:rPr>
          <w:rFonts w:hint="eastAsia" w:ascii="宋体" w:hAnsi="宋体"/>
          <w:b/>
          <w:color w:val="auto"/>
          <w:sz w:val="22"/>
          <w:highlight w:val="none"/>
        </w:rPr>
        <w:t xml:space="preserve"> </w:t>
      </w:r>
      <w:r>
        <w:rPr>
          <w:rFonts w:ascii="宋体" w:hAnsi="宋体"/>
          <w:b/>
          <w:color w:val="auto"/>
          <w:sz w:val="22"/>
          <w:highlight w:val="none"/>
        </w:rPr>
        <w:t xml:space="preserve">    </w:t>
      </w: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号文相关的规定，</w:t>
      </w:r>
      <w:r>
        <w:rPr>
          <w:rFonts w:ascii="宋体" w:hAnsi="宋体" w:cs="宋体"/>
          <w:color w:val="auto"/>
          <w:sz w:val="22"/>
          <w:szCs w:val="22"/>
          <w:highlight w:val="none"/>
        </w:rPr>
        <w:t>评审小组成员个人主观打分偏离所有评审小组成员主观打分平均值30%以上的，由评审委员会启动评分畸高、畸低行为认定程序。</w:t>
      </w:r>
    </w:p>
    <w:p w14:paraId="263A6E8C">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10． 推荐中标候选人</w:t>
      </w:r>
    </w:p>
    <w:p w14:paraId="7DBB4669">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10.1 本次招标由评标委员会推2名中标候选人。</w:t>
      </w:r>
    </w:p>
    <w:p w14:paraId="384AE6AC">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6098067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1</w:t>
      </w:r>
      <w:r>
        <w:rPr>
          <w:rFonts w:hint="eastAsia" w:ascii="宋体" w:hAnsi="宋体" w:cs="宋体"/>
          <w:color w:val="auto"/>
          <w:sz w:val="22"/>
          <w:szCs w:val="22"/>
          <w:highlight w:val="none"/>
        </w:rPr>
        <w:t>.  根据《中华人民共和国政府采购法》第三十六条之规定，在采购中，出现下列情形之一的，应予废标：</w:t>
      </w:r>
    </w:p>
    <w:p w14:paraId="7ED41966">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符合专业条件的供应商或者对招标文件作实质响应的供应商不足3家的；</w:t>
      </w:r>
    </w:p>
    <w:p w14:paraId="7927115F">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出现影响采购公正的违法、违规行为的；</w:t>
      </w:r>
    </w:p>
    <w:p w14:paraId="041F0C24">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投标人的报价均超过了采购预算，采购人不能支付的；</w:t>
      </w:r>
    </w:p>
    <w:p w14:paraId="1BAC525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因重大变故，采购任务取消的。</w:t>
      </w:r>
    </w:p>
    <w:p w14:paraId="4C0D63B6">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废标后，采购代理机构应当将废标理由通知所有投标人。</w:t>
      </w:r>
    </w:p>
    <w:p w14:paraId="6D444D1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评标细则详见第六部分“评标原则及方法”。</w:t>
      </w:r>
    </w:p>
    <w:p w14:paraId="0A89B3F4">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13.  未尽事宜遵循相关法律法规及规范性文件执行。</w:t>
      </w:r>
    </w:p>
    <w:p w14:paraId="2568DF4B">
      <w:pPr>
        <w:pStyle w:val="4"/>
        <w:spacing w:line="680" w:lineRule="exact"/>
        <w:jc w:val="center"/>
        <w:rPr>
          <w:rFonts w:ascii="宋体" w:hAnsi="宋体" w:eastAsia="宋体" w:cs="宋体"/>
          <w:color w:val="auto"/>
          <w:sz w:val="28"/>
          <w:szCs w:val="28"/>
          <w:highlight w:val="none"/>
        </w:rPr>
      </w:pPr>
      <w:bookmarkStart w:id="44" w:name="_Toc30749"/>
      <w:r>
        <w:rPr>
          <w:rFonts w:hint="eastAsia" w:ascii="宋体" w:hAnsi="宋体" w:eastAsia="宋体" w:cs="宋体"/>
          <w:color w:val="auto"/>
          <w:sz w:val="28"/>
          <w:szCs w:val="28"/>
          <w:highlight w:val="none"/>
        </w:rPr>
        <w:t>六、 中标和合同</w:t>
      </w:r>
      <w:bookmarkEnd w:id="43"/>
      <w:bookmarkEnd w:id="44"/>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02A11C0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5.1  本项目无履约保证金。</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71646125">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4876078E">
      <w:pPr>
        <w:pStyle w:val="4"/>
        <w:spacing w:line="680" w:lineRule="exact"/>
        <w:jc w:val="center"/>
        <w:rPr>
          <w:rFonts w:ascii="宋体" w:hAnsi="宋体" w:eastAsia="宋体" w:cs="宋体"/>
          <w:b w:val="0"/>
          <w:color w:val="auto"/>
          <w:highlight w:val="none"/>
        </w:rPr>
      </w:pPr>
      <w:bookmarkStart w:id="45" w:name="_Toc77410345"/>
      <w:bookmarkStart w:id="46" w:name="_Toc77407760"/>
      <w:bookmarkStart w:id="47" w:name="_Toc23910"/>
      <w:bookmarkStart w:id="48" w:name="_Toc89248785"/>
      <w:bookmarkStart w:id="49" w:name="_Toc208045865"/>
      <w:bookmarkStart w:id="50" w:name="_Toc230773781"/>
      <w:bookmarkStart w:id="51" w:name="_Toc185326503"/>
      <w:r>
        <w:rPr>
          <w:rFonts w:hint="eastAsia" w:ascii="宋体" w:hAnsi="宋体" w:eastAsia="宋体" w:cs="宋体"/>
          <w:color w:val="auto"/>
          <w:sz w:val="28"/>
          <w:szCs w:val="28"/>
          <w:highlight w:val="none"/>
        </w:rPr>
        <w:t>七、 可中止电子交易活动的情形</w:t>
      </w:r>
      <w:bookmarkEnd w:id="45"/>
      <w:bookmarkEnd w:id="46"/>
      <w:bookmarkEnd w:id="47"/>
      <w:bookmarkEnd w:id="48"/>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9"/>
    <w:bookmarkEnd w:id="50"/>
    <w:bookmarkEnd w:id="51"/>
    <w:p w14:paraId="4D6A4D31">
      <w:pPr>
        <w:rPr>
          <w:rFonts w:ascii="黑体" w:hAnsi="黑体" w:eastAsia="黑体"/>
          <w:bCs/>
          <w:color w:val="auto"/>
          <w:sz w:val="36"/>
          <w:szCs w:val="36"/>
          <w:highlight w:val="none"/>
        </w:rPr>
      </w:pPr>
      <w:bookmarkStart w:id="52" w:name="_Toc8176"/>
      <w:bookmarkStart w:id="53" w:name="_Toc230773782"/>
      <w:r>
        <w:rPr>
          <w:rFonts w:hint="eastAsia" w:ascii="黑体" w:hAnsi="黑体" w:eastAsia="黑体"/>
          <w:bCs/>
          <w:color w:val="auto"/>
          <w:sz w:val="36"/>
          <w:szCs w:val="36"/>
          <w:highlight w:val="none"/>
        </w:rPr>
        <w:br w:type="page"/>
      </w:r>
    </w:p>
    <w:p w14:paraId="269EDCDB">
      <w:pPr>
        <w:pStyle w:val="3"/>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4" w:name="_Toc26942"/>
      <w:r>
        <w:rPr>
          <w:rFonts w:hint="eastAsia" w:ascii="黑体" w:hAnsi="黑体" w:eastAsia="黑体"/>
          <w:bCs/>
          <w:color w:val="auto"/>
          <w:sz w:val="36"/>
          <w:szCs w:val="36"/>
          <w:highlight w:val="none"/>
        </w:rPr>
        <w:t>第三部分</w:t>
      </w:r>
      <w:bookmarkEnd w:id="52"/>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4"/>
    </w:p>
    <w:bookmarkEnd w:id="53"/>
    <w:p w14:paraId="0245D678">
      <w:pPr>
        <w:spacing w:line="460" w:lineRule="exact"/>
        <w:ind w:firstLine="442" w:firstLineChars="200"/>
        <w:rPr>
          <w:rFonts w:ascii="新宋体" w:hAnsi="新宋体" w:eastAsia="新宋体" w:cs="新宋体"/>
          <w:bCs/>
          <w:color w:val="auto"/>
          <w:sz w:val="22"/>
          <w:szCs w:val="22"/>
          <w:highlight w:val="none"/>
        </w:rPr>
      </w:pPr>
      <w:bookmarkStart w:id="55" w:name="_Toc2505009"/>
      <w:bookmarkStart w:id="56" w:name="_Toc230773783"/>
      <w:r>
        <w:rPr>
          <w:rFonts w:hint="eastAsia" w:ascii="新宋体" w:hAnsi="新宋体" w:eastAsia="新宋体" w:cs="新宋体"/>
          <w:b/>
          <w:color w:val="auto"/>
          <w:sz w:val="22"/>
          <w:szCs w:val="22"/>
          <w:highlight w:val="none"/>
        </w:rPr>
        <w:t>本条款为甲乙双方必须遵守的基本条款，甲乙双方也可根据实际情况另签合同条款，正式合同以双方签字盖章的文本为准。</w:t>
      </w:r>
    </w:p>
    <w:p w14:paraId="0FF815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合同编号：     </w:t>
      </w:r>
    </w:p>
    <w:p w14:paraId="295A6D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采购</w:t>
      </w:r>
      <w:r>
        <w:rPr>
          <w:rFonts w:hint="eastAsia" w:ascii="新宋体" w:hAnsi="新宋体" w:eastAsia="新宋体" w:cs="新宋体"/>
          <w:color w:val="auto"/>
          <w:sz w:val="22"/>
          <w:szCs w:val="22"/>
          <w:highlight w:val="none"/>
        </w:rPr>
        <w:t>人：</w:t>
      </w:r>
      <w:r>
        <w:rPr>
          <w:rFonts w:hint="eastAsia" w:ascii="新宋体" w:hAnsi="新宋体" w:eastAsia="新宋体" w:cs="新宋体"/>
          <w:color w:val="auto"/>
          <w:sz w:val="22"/>
          <w:szCs w:val="22"/>
          <w:highlight w:val="none"/>
          <w:u w:val="single"/>
        </w:rPr>
        <w:t>温州市第七人民医院</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（以下简称甲方）</w:t>
      </w:r>
    </w:p>
    <w:p w14:paraId="61548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（以下简称乙方）</w:t>
      </w:r>
    </w:p>
    <w:p w14:paraId="570A81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温州市第七人民医院的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项目（编号: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）在国内以</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方式进行招标，经评标委员会评定</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为中标人。甲、乙双方本着诚信及互利互惠的原则，同意按照下面条款和条件，签署本合同。</w:t>
      </w:r>
    </w:p>
    <w:p w14:paraId="516DB29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一、本合同签订依据</w:t>
      </w:r>
    </w:p>
    <w:p w14:paraId="5B3711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《中华人民共和国民典法》</w:t>
      </w:r>
    </w:p>
    <w:p w14:paraId="0C3EAA1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二、合同文件的优先次序</w:t>
      </w:r>
    </w:p>
    <w:p w14:paraId="5846147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合同文件如存在歧义或不一致则根据以下优先次序来判断：</w:t>
      </w:r>
    </w:p>
    <w:p w14:paraId="2BC0D1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1、合同书及合同补充条款或说明 </w:t>
      </w:r>
    </w:p>
    <w:p w14:paraId="1D9C7A4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2、中标通知书</w:t>
      </w:r>
    </w:p>
    <w:p w14:paraId="38E1694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3、承诺书（含询标记录和优惠条款）</w:t>
      </w:r>
    </w:p>
    <w:p w14:paraId="156116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w:t>
      </w:r>
    </w:p>
    <w:p w14:paraId="65DD799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5、招标文件</w:t>
      </w:r>
    </w:p>
    <w:p w14:paraId="446E29B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三、货物内容</w:t>
      </w:r>
    </w:p>
    <w:p w14:paraId="373D4C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耗材：</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350"/>
        <w:gridCol w:w="1266"/>
        <w:gridCol w:w="1555"/>
        <w:gridCol w:w="1676"/>
        <w:gridCol w:w="1642"/>
        <w:gridCol w:w="1522"/>
      </w:tblGrid>
      <w:tr w14:paraId="096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noWrap w:val="0"/>
            <w:vAlign w:val="top"/>
          </w:tcPr>
          <w:p w14:paraId="2382025F">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685" w:type="pct"/>
            <w:noWrap w:val="0"/>
            <w:vAlign w:val="top"/>
          </w:tcPr>
          <w:p w14:paraId="11FCC96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产品名称</w:t>
            </w:r>
          </w:p>
        </w:tc>
        <w:tc>
          <w:tcPr>
            <w:tcW w:w="642" w:type="pct"/>
            <w:noWrap w:val="0"/>
            <w:vAlign w:val="top"/>
          </w:tcPr>
          <w:p w14:paraId="016D8EA0">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备案证号</w:t>
            </w:r>
          </w:p>
        </w:tc>
        <w:tc>
          <w:tcPr>
            <w:tcW w:w="789" w:type="pct"/>
            <w:noWrap w:val="0"/>
            <w:vAlign w:val="top"/>
          </w:tcPr>
          <w:p w14:paraId="24131B7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产品ID</w:t>
            </w:r>
          </w:p>
        </w:tc>
        <w:tc>
          <w:tcPr>
            <w:tcW w:w="850" w:type="pct"/>
            <w:noWrap w:val="0"/>
            <w:vAlign w:val="top"/>
          </w:tcPr>
          <w:p w14:paraId="2C848D68">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规格型号</w:t>
            </w:r>
          </w:p>
        </w:tc>
        <w:tc>
          <w:tcPr>
            <w:tcW w:w="833" w:type="pct"/>
            <w:noWrap w:val="0"/>
            <w:vAlign w:val="top"/>
          </w:tcPr>
          <w:p w14:paraId="0C9B46C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生产厂家</w:t>
            </w:r>
          </w:p>
        </w:tc>
        <w:tc>
          <w:tcPr>
            <w:tcW w:w="772" w:type="pct"/>
            <w:noWrap w:val="0"/>
            <w:vAlign w:val="top"/>
          </w:tcPr>
          <w:p w14:paraId="4472ECC3">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供货价格（元）</w:t>
            </w:r>
          </w:p>
        </w:tc>
      </w:tr>
      <w:tr w14:paraId="11E3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5" w:type="pct"/>
            <w:noWrap w:val="0"/>
            <w:vAlign w:val="top"/>
          </w:tcPr>
          <w:p w14:paraId="531195F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672EEEB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2019959">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020FF46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2FFCF1F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196F7D2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32600A2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r w14:paraId="25E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69574331">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51E9863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2C9A457C">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3EAA78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51C4616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772F3AC3">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42EA723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 xml:space="preserve"> </w:t>
            </w:r>
          </w:p>
        </w:tc>
      </w:tr>
      <w:tr w14:paraId="186B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7B12C4D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2852D4C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7FE79E0">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5BE39CC1">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0AAF8D5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c>
          <w:tcPr>
            <w:tcW w:w="833" w:type="pct"/>
            <w:noWrap w:val="0"/>
            <w:vAlign w:val="top"/>
          </w:tcPr>
          <w:p w14:paraId="4799102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0FA1429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bl>
    <w:p w14:paraId="4017E92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租赁设备：</w:t>
      </w:r>
    </w:p>
    <w:tbl>
      <w:tblPr>
        <w:tblStyle w:val="3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305"/>
        <w:gridCol w:w="1265"/>
        <w:gridCol w:w="1533"/>
        <w:gridCol w:w="1682"/>
        <w:gridCol w:w="1686"/>
        <w:gridCol w:w="1476"/>
      </w:tblGrid>
      <w:tr w14:paraId="651F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2" w:type="pct"/>
            <w:noWrap w:val="0"/>
            <w:vAlign w:val="center"/>
          </w:tcPr>
          <w:p w14:paraId="4FEB7115">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序号</w:t>
            </w:r>
          </w:p>
        </w:tc>
        <w:tc>
          <w:tcPr>
            <w:tcW w:w="663" w:type="pct"/>
            <w:noWrap w:val="0"/>
            <w:vAlign w:val="top"/>
          </w:tcPr>
          <w:p w14:paraId="0B9FA070">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设备名称</w:t>
            </w:r>
          </w:p>
        </w:tc>
        <w:tc>
          <w:tcPr>
            <w:tcW w:w="643" w:type="pct"/>
            <w:noWrap w:val="0"/>
            <w:vAlign w:val="top"/>
          </w:tcPr>
          <w:p w14:paraId="5490C5C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注册</w:t>
            </w:r>
            <w:r>
              <w:rPr>
                <w:rFonts w:hint="eastAsia" w:ascii="宋体" w:hAnsi="宋体" w:eastAsia="宋体" w:cs="宋体"/>
                <w:b w:val="0"/>
                <w:bCs w:val="0"/>
                <w:color w:val="auto"/>
                <w:sz w:val="22"/>
                <w:szCs w:val="22"/>
                <w:highlight w:val="none"/>
                <w:lang w:val="en-US" w:eastAsia="zh-CN"/>
              </w:rPr>
              <w:t>证号</w:t>
            </w:r>
          </w:p>
        </w:tc>
        <w:tc>
          <w:tcPr>
            <w:tcW w:w="779" w:type="pct"/>
            <w:noWrap w:val="0"/>
            <w:vAlign w:val="top"/>
          </w:tcPr>
          <w:p w14:paraId="5EF819FB">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品牌</w:t>
            </w:r>
          </w:p>
        </w:tc>
        <w:tc>
          <w:tcPr>
            <w:tcW w:w="855" w:type="pct"/>
            <w:noWrap w:val="0"/>
            <w:vAlign w:val="top"/>
          </w:tcPr>
          <w:p w14:paraId="710675E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型号规格</w:t>
            </w:r>
          </w:p>
        </w:tc>
        <w:tc>
          <w:tcPr>
            <w:tcW w:w="855" w:type="pct"/>
            <w:noWrap w:val="0"/>
            <w:vAlign w:val="top"/>
          </w:tcPr>
          <w:p w14:paraId="4115FB81">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数量及单位</w:t>
            </w:r>
          </w:p>
        </w:tc>
        <w:tc>
          <w:tcPr>
            <w:tcW w:w="750" w:type="pct"/>
            <w:noWrap w:val="0"/>
            <w:vAlign w:val="top"/>
          </w:tcPr>
          <w:p w14:paraId="279758AD">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单价（</w:t>
            </w:r>
            <w:r>
              <w:rPr>
                <w:rFonts w:hint="eastAsia" w:ascii="宋体" w:hAnsi="宋体" w:eastAsia="宋体" w:cs="宋体"/>
                <w:b w:val="0"/>
                <w:bCs w:val="0"/>
                <w:color w:val="auto"/>
                <w:sz w:val="22"/>
                <w:szCs w:val="22"/>
                <w:highlight w:val="none"/>
                <w:lang w:val="en-US" w:eastAsia="zh-CN"/>
              </w:rPr>
              <w:t>元</w:t>
            </w:r>
            <w:r>
              <w:rPr>
                <w:rFonts w:hint="eastAsia" w:ascii="宋体" w:hAnsi="宋体" w:eastAsia="宋体" w:cs="宋体"/>
                <w:b w:val="0"/>
                <w:bCs w:val="0"/>
                <w:color w:val="auto"/>
                <w:sz w:val="22"/>
                <w:szCs w:val="22"/>
                <w:highlight w:val="none"/>
                <w:lang w:eastAsia="zh-CN"/>
              </w:rPr>
              <w:t>）</w:t>
            </w:r>
          </w:p>
        </w:tc>
      </w:tr>
      <w:tr w14:paraId="35B6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3144C8BC">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1</w:t>
            </w:r>
          </w:p>
        </w:tc>
        <w:tc>
          <w:tcPr>
            <w:tcW w:w="663" w:type="pct"/>
            <w:noWrap w:val="0"/>
            <w:vAlign w:val="center"/>
          </w:tcPr>
          <w:p w14:paraId="5FE8A89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4ED3D9A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2F99FB4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4CBE7CE7">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06955C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0BB12DA8">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601B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27C90E96">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2</w:t>
            </w:r>
          </w:p>
        </w:tc>
        <w:tc>
          <w:tcPr>
            <w:tcW w:w="663" w:type="pct"/>
            <w:noWrap w:val="0"/>
            <w:vAlign w:val="center"/>
          </w:tcPr>
          <w:p w14:paraId="0F5A53A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34DE55A5">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04C4C54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03178F6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BD7244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1414BB2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7F0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36BC21E">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小写：￥</w:t>
            </w:r>
            <w:r>
              <w:rPr>
                <w:rFonts w:hint="eastAsia" w:ascii="宋体" w:hAnsi="宋体" w:eastAsia="宋体" w:cs="宋体"/>
                <w:b w:val="0"/>
                <w:bCs w:val="0"/>
                <w:color w:val="auto"/>
                <w:sz w:val="22"/>
                <w:szCs w:val="22"/>
                <w:highlight w:val="none"/>
                <w:lang w:val="en-US" w:eastAsia="zh-CN"/>
              </w:rPr>
              <w:t xml:space="preserve">                     </w:t>
            </w:r>
          </w:p>
        </w:tc>
        <w:tc>
          <w:tcPr>
            <w:tcW w:w="750" w:type="pct"/>
            <w:noWrap w:val="0"/>
            <w:vAlign w:val="center"/>
          </w:tcPr>
          <w:p w14:paraId="0D9ED6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4EC8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98D59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大写：</w:t>
            </w:r>
          </w:p>
        </w:tc>
        <w:tc>
          <w:tcPr>
            <w:tcW w:w="750" w:type="pct"/>
            <w:noWrap w:val="0"/>
            <w:vAlign w:val="center"/>
          </w:tcPr>
          <w:p w14:paraId="7A2DCAC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bl>
    <w:p w14:paraId="08576A63">
      <w:pPr>
        <w:pStyle w:val="210"/>
        <w:keepLines w:val="0"/>
        <w:pageBreakBefore w:val="0"/>
        <w:numPr>
          <w:ilvl w:val="0"/>
          <w:numId w:val="0"/>
        </w:numPr>
        <w:tabs>
          <w:tab w:val="left" w:pos="522"/>
        </w:tabs>
        <w:kinsoku/>
        <w:wordWrap/>
        <w:topLinePunct w:val="0"/>
        <w:bidi w:val="0"/>
        <w:spacing w:line="440" w:lineRule="exact"/>
        <w:ind w:left="0" w:leftChars="0" w:right="0" w:rightChars="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eastAsia="zh-CN"/>
        </w:rPr>
        <w:t>有关耗材与设备</w:t>
      </w:r>
      <w:r>
        <w:rPr>
          <w:rFonts w:hint="eastAsia" w:ascii="宋体" w:hAnsi="宋体" w:eastAsia="宋体" w:cs="宋体"/>
          <w:color w:val="auto"/>
          <w:sz w:val="22"/>
          <w:szCs w:val="22"/>
          <w:highlight w:val="none"/>
        </w:rPr>
        <w:t>型号、数量、配置要求等详见附件清单</w:t>
      </w:r>
      <w:r>
        <w:rPr>
          <w:rFonts w:hint="eastAsia" w:ascii="宋体" w:hAnsi="宋体" w:eastAsia="宋体" w:cs="宋体"/>
          <w:color w:val="auto"/>
          <w:sz w:val="22"/>
          <w:szCs w:val="22"/>
          <w:highlight w:val="none"/>
          <w:lang w:eastAsia="zh-CN"/>
        </w:rPr>
        <w:t>。</w:t>
      </w:r>
    </w:p>
    <w:p w14:paraId="6B847C43">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实行固定费用总包干</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以上合同总价包含完成合同所需的一切费用，包括但不限于包装费、运输费、装卸费、保险费、安装调试费、技术服务费、培训费以及保修费、税费等。</w:t>
      </w:r>
    </w:p>
    <w:p w14:paraId="75DB13D9">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eastAsia="zh-CN"/>
        </w:rPr>
        <w:t>、合同期内：耗材（试剂）供货价如高于同期温州地区其他医院相同产品的采购价格，则供货价格调整到温州地区其他医院相同产品的采购价格。若该耗材（试剂）纳入省或市集中招标采购目录，本合同品牌耗材（试剂）未能中标，则合同期自动终止。如中标，则按中标价格与采购方式执行。</w:t>
      </w:r>
    </w:p>
    <w:p w14:paraId="68A0E0A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、遇国家政策变化，如纳入带量采购、集中采购等情况时，耗材价格由甲乙双方协商再定。</w:t>
      </w:r>
    </w:p>
    <w:p w14:paraId="1EDA690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eastAsia="zh-CN"/>
        </w:rPr>
        <w:t>服务期</w:t>
      </w:r>
      <w:r>
        <w:rPr>
          <w:rFonts w:hint="eastAsia" w:ascii="新宋体" w:hAnsi="新宋体" w:eastAsia="新宋体" w:cs="新宋体"/>
          <w:b/>
          <w:bCs/>
          <w:color w:val="auto"/>
          <w:sz w:val="22"/>
          <w:szCs w:val="22"/>
          <w:highlight w:val="none"/>
        </w:rPr>
        <w:t>限</w:t>
      </w:r>
    </w:p>
    <w:p w14:paraId="293CA80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期为合同签订且设备验收合格后一年，或</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 xml:space="preserve">内该项目耗材采购金额达到人民币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元）也视为</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w:t>
      </w:r>
    </w:p>
    <w:p w14:paraId="2102825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、产品品牌规格要求</w:t>
      </w:r>
    </w:p>
    <w:p w14:paraId="0AADA9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1、乙方应按甲方要求的品牌规格型号，保证产品质量，不得供应假冒伪劣产品。</w:t>
      </w:r>
    </w:p>
    <w:p w14:paraId="05E31E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2、乙方向甲方提供全新且合格</w:t>
      </w:r>
      <w:r>
        <w:rPr>
          <w:rFonts w:hint="eastAsia" w:ascii="宋体" w:hAnsi="宋体" w:eastAsia="宋体" w:cs="宋体"/>
          <w:color w:val="auto"/>
          <w:sz w:val="22"/>
          <w:szCs w:val="22"/>
          <w:highlight w:val="none"/>
          <w:lang w:eastAsia="zh-CN"/>
        </w:rPr>
        <w:t>产品，或</w:t>
      </w:r>
      <w:r>
        <w:rPr>
          <w:rFonts w:hint="eastAsia" w:ascii="宋体" w:hAnsi="宋体" w:eastAsia="宋体" w:cs="宋体"/>
          <w:b w:val="0"/>
          <w:bCs w:val="0"/>
          <w:color w:val="auto"/>
          <w:kern w:val="0"/>
          <w:sz w:val="22"/>
          <w:szCs w:val="22"/>
          <w:highlight w:val="none"/>
          <w:lang w:val="en-US" w:eastAsia="zh-CN" w:bidi="ar"/>
        </w:rPr>
        <w:t>到场时间距生产时间不大于3年的合格设备</w:t>
      </w:r>
      <w:r>
        <w:rPr>
          <w:rFonts w:hint="eastAsia" w:ascii="宋体" w:hAnsi="宋体" w:eastAsia="宋体" w:cs="宋体"/>
          <w:color w:val="auto"/>
          <w:sz w:val="22"/>
          <w:szCs w:val="22"/>
          <w:highlight w:val="none"/>
          <w:lang w:eastAsia="zh-CN"/>
        </w:rPr>
        <w:t>（需经甲方评估通过）</w:t>
      </w:r>
      <w:r>
        <w:rPr>
          <w:rFonts w:hint="eastAsia" w:ascii="宋体" w:hAnsi="宋体" w:eastAsia="宋体" w:cs="宋体"/>
          <w:color w:val="auto"/>
          <w:sz w:val="22"/>
          <w:szCs w:val="22"/>
          <w:highlight w:val="none"/>
        </w:rPr>
        <w:t>，设备随机提供中文版操作说明书。</w:t>
      </w:r>
    </w:p>
    <w:p w14:paraId="17E9D6C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、交货期、交货方式及交货地点</w:t>
      </w:r>
    </w:p>
    <w:p w14:paraId="0865A6F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1、交货期：合同签订后，乙方接到甲方通知后设备在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个月内到货、耗材在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个工作日内按订单的数量到货。</w:t>
      </w:r>
    </w:p>
    <w:p w14:paraId="2A829D0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2、交货地点：甲方指定地点。</w:t>
      </w:r>
    </w:p>
    <w:p w14:paraId="5D86D2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3、交货方式：耗材到货时剩余有效期为</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个月以上，经甲方仓库保管员验收后入库，有效期内未使用完由乙方免费调换。</w:t>
      </w:r>
    </w:p>
    <w:p w14:paraId="23C492C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、货款支付</w:t>
      </w:r>
    </w:p>
    <w:p w14:paraId="06BD3A6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1、设备租赁费：本项目设备实行租赁方式，租赁费为人民币</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元/年）。租赁费在</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结束后按</w:t>
      </w:r>
      <w:r>
        <w:rPr>
          <w:rFonts w:hint="eastAsia" w:ascii="新宋体" w:hAnsi="新宋体" w:eastAsia="新宋体" w:cs="新宋体"/>
          <w:color w:val="auto"/>
          <w:sz w:val="22"/>
          <w:szCs w:val="22"/>
          <w:highlight w:val="none"/>
          <w:lang w:eastAsia="zh-CN"/>
        </w:rPr>
        <w:t>设备</w:t>
      </w:r>
      <w:r>
        <w:rPr>
          <w:rFonts w:hint="eastAsia" w:ascii="新宋体" w:hAnsi="新宋体" w:eastAsia="新宋体" w:cs="新宋体"/>
          <w:color w:val="auto"/>
          <w:sz w:val="22"/>
          <w:szCs w:val="22"/>
          <w:highlight w:val="none"/>
        </w:rPr>
        <w:t>实际租赁月份结算，甲方收到发票后一次性支付。</w:t>
      </w:r>
    </w:p>
    <w:p w14:paraId="435295A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2、耗材费：本项目耗材单价为人民币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val="en-US" w:eastAsia="zh-CN"/>
        </w:rPr>
        <w:t>片</w:t>
      </w:r>
      <w:r>
        <w:rPr>
          <w:rFonts w:hint="eastAsia" w:ascii="新宋体" w:hAnsi="新宋体" w:eastAsia="新宋体" w:cs="新宋体"/>
          <w:color w:val="auto"/>
          <w:sz w:val="22"/>
          <w:szCs w:val="22"/>
          <w:highlight w:val="none"/>
        </w:rPr>
        <w:t>。</w:t>
      </w:r>
      <w:r>
        <w:rPr>
          <w:rFonts w:hint="eastAsia" w:ascii="新宋体" w:hAnsi="新宋体" w:eastAsia="新宋体"/>
          <w:b/>
          <w:bCs/>
          <w:color w:val="auto"/>
          <w:sz w:val="22"/>
          <w:highlight w:val="none"/>
        </w:rPr>
        <w:t>耗材按实际使用量，每月结算一次,</w:t>
      </w:r>
      <w:r>
        <w:rPr>
          <w:rFonts w:hint="eastAsia" w:ascii="新宋体" w:hAnsi="新宋体" w:eastAsia="新宋体"/>
          <w:b/>
          <w:bCs/>
          <w:color w:val="auto"/>
          <w:sz w:val="22"/>
          <w:highlight w:val="none"/>
          <w:lang w:eastAsia="zh-CN"/>
        </w:rPr>
        <w:t>采购人</w:t>
      </w:r>
      <w:r>
        <w:rPr>
          <w:rFonts w:hint="eastAsia" w:ascii="新宋体" w:hAnsi="新宋体" w:eastAsia="新宋体"/>
          <w:b/>
          <w:bCs/>
          <w:color w:val="auto"/>
          <w:sz w:val="22"/>
          <w:highlight w:val="none"/>
        </w:rPr>
        <w:t>在收到</w:t>
      </w:r>
      <w:r>
        <w:rPr>
          <w:rFonts w:hint="eastAsia" w:ascii="新宋体" w:hAnsi="新宋体" w:eastAsia="新宋体"/>
          <w:b/>
          <w:bCs/>
          <w:color w:val="auto"/>
          <w:sz w:val="22"/>
          <w:highlight w:val="none"/>
          <w:lang w:eastAsia="zh-CN"/>
        </w:rPr>
        <w:t>中标人</w:t>
      </w:r>
      <w:r>
        <w:rPr>
          <w:rFonts w:hint="eastAsia" w:ascii="新宋体" w:hAnsi="新宋体" w:eastAsia="新宋体"/>
          <w:b/>
          <w:bCs/>
          <w:color w:val="auto"/>
          <w:sz w:val="22"/>
          <w:highlight w:val="none"/>
        </w:rPr>
        <w:t>发票后</w:t>
      </w:r>
      <w:r>
        <w:rPr>
          <w:rFonts w:hint="eastAsia" w:ascii="新宋体" w:hAnsi="新宋体" w:eastAsia="新宋体"/>
          <w:b/>
          <w:bCs/>
          <w:color w:val="auto"/>
          <w:sz w:val="22"/>
          <w:highlight w:val="none"/>
          <w:lang w:val="en-US" w:eastAsia="zh-CN"/>
        </w:rPr>
        <w:t>3个月</w:t>
      </w:r>
      <w:r>
        <w:rPr>
          <w:rFonts w:hint="eastAsia" w:ascii="新宋体" w:hAnsi="新宋体" w:eastAsia="新宋体"/>
          <w:b/>
          <w:bCs/>
          <w:color w:val="auto"/>
          <w:sz w:val="22"/>
          <w:highlight w:val="none"/>
        </w:rPr>
        <w:t>内</w:t>
      </w:r>
      <w:r>
        <w:rPr>
          <w:rFonts w:hint="eastAsia" w:ascii="新宋体" w:hAnsi="新宋体" w:eastAsia="新宋体"/>
          <w:b/>
          <w:bCs/>
          <w:color w:val="auto"/>
          <w:sz w:val="22"/>
          <w:highlight w:val="none"/>
          <w:lang w:eastAsia="zh-CN"/>
        </w:rPr>
        <w:t>支付</w:t>
      </w:r>
      <w:r>
        <w:rPr>
          <w:rFonts w:hint="eastAsia" w:ascii="新宋体" w:hAnsi="新宋体" w:eastAsia="新宋体"/>
          <w:b/>
          <w:bCs/>
          <w:color w:val="auto"/>
          <w:sz w:val="22"/>
          <w:highlight w:val="none"/>
        </w:rPr>
        <w:t>货款。</w:t>
      </w:r>
    </w:p>
    <w:p w14:paraId="3E454A2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八</w:t>
      </w:r>
      <w:r>
        <w:rPr>
          <w:rFonts w:hint="eastAsia" w:ascii="新宋体" w:hAnsi="新宋体" w:eastAsia="新宋体" w:cs="新宋体"/>
          <w:b/>
          <w:bCs/>
          <w:color w:val="auto"/>
          <w:sz w:val="22"/>
          <w:szCs w:val="22"/>
          <w:highlight w:val="none"/>
        </w:rPr>
        <w:t>、税费</w:t>
      </w:r>
    </w:p>
    <w:p w14:paraId="5FD4CD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本合同执行中相关的一切税费均由乙方负担。</w:t>
      </w:r>
    </w:p>
    <w:p w14:paraId="18C58499">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九</w:t>
      </w:r>
      <w:r>
        <w:rPr>
          <w:rFonts w:hint="eastAsia" w:ascii="新宋体" w:hAnsi="新宋体" w:eastAsia="新宋体" w:cs="新宋体"/>
          <w:b/>
          <w:bCs/>
          <w:color w:val="auto"/>
          <w:sz w:val="22"/>
          <w:szCs w:val="22"/>
          <w:highlight w:val="none"/>
        </w:rPr>
        <w:t>、质量保证及售后服务</w:t>
      </w:r>
    </w:p>
    <w:p w14:paraId="5957E1E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间，乙方负责设备的保修、保养，费用均含在投标价格中。设备故障报修后即时响应，</w:t>
      </w:r>
      <w:r>
        <w:rPr>
          <w:rFonts w:hint="eastAsia" w:ascii="新宋体" w:hAnsi="新宋体" w:eastAsia="新宋体" w:cs="新宋体"/>
          <w:color w:val="auto"/>
          <w:sz w:val="22"/>
          <w:szCs w:val="22"/>
          <w:highlight w:val="none"/>
          <w:u w:val="single"/>
          <w:lang w:val="en-US" w:eastAsia="zh-CN"/>
        </w:rPr>
        <w:t xml:space="preserve">  4</w:t>
      </w:r>
      <w:r>
        <w:rPr>
          <w:rFonts w:hint="eastAsia" w:ascii="新宋体" w:hAnsi="新宋体" w:eastAsia="新宋体" w:cs="新宋体"/>
          <w:color w:val="auto"/>
          <w:sz w:val="22"/>
          <w:szCs w:val="22"/>
          <w:highlight w:val="none"/>
        </w:rPr>
        <w:t>小时内维修。</w:t>
      </w:r>
    </w:p>
    <w:p w14:paraId="362900E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2、乙方应按招标文件规定的货物性能、技术要求、质量标准、品牌、型号、规格及中标单价向甲方提供未经使用的全新产品。</w:t>
      </w:r>
    </w:p>
    <w:p w14:paraId="54F1673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3、乙方提供的设备及耗材在质保期内因设备、耗材本身的质量问题发生故障，乙方应负责免费更换。对达不到技术要求者，根据实际情况，经双方协商，可按以下办法处理：</w:t>
      </w:r>
    </w:p>
    <w:p w14:paraId="79BA1B3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⑴更换：由乙方承担所发生的全部费用。</w:t>
      </w:r>
    </w:p>
    <w:p w14:paraId="510B6C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⑵贬值处理：由甲乙双方合议定价。</w:t>
      </w:r>
    </w:p>
    <w:p w14:paraId="474ADE0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⑶退货处理：乙方应退还甲方支付的合同款，同时应承担该货物的直接费用（运输、保险、检验、货款利息及银行手续费等）。</w:t>
      </w:r>
    </w:p>
    <w:p w14:paraId="6B688B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4、在质保期内，乙方应对货物出现的质量及安全问题负责处理解决并承担一切费用。</w:t>
      </w:r>
    </w:p>
    <w:p w14:paraId="305B3E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5、上述产品如遇质量问题由乙方负责产品更换或维修，因人为因素出现的故障不在免费保修范围内。</w:t>
      </w:r>
    </w:p>
    <w:p w14:paraId="41D22A1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十</w:t>
      </w:r>
      <w:r>
        <w:rPr>
          <w:rFonts w:hint="eastAsia" w:ascii="新宋体" w:hAnsi="新宋体" w:eastAsia="新宋体" w:cs="新宋体"/>
          <w:b/>
          <w:bCs/>
          <w:color w:val="auto"/>
          <w:sz w:val="22"/>
          <w:szCs w:val="22"/>
          <w:highlight w:val="none"/>
        </w:rPr>
        <w:t>、验收</w:t>
      </w:r>
    </w:p>
    <w:p w14:paraId="228A756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根据中标人按招标文件规定进行验收。在使用过程中，如设备、耗材有质量问题，乙方应免费更换相应的设备、耗材，并承担由产品质量问题而引发的全部费用。</w:t>
      </w:r>
    </w:p>
    <w:p w14:paraId="57B68BE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十一、违约责任</w:t>
      </w:r>
    </w:p>
    <w:p w14:paraId="39F2705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1、甲方无正当理由拒收货物的，甲方向乙方偿付拒收货款总值的百分之五违约金。</w:t>
      </w:r>
    </w:p>
    <w:p w14:paraId="468781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2、甲方无故逾期验收和办理货款支付手续的,甲方应按逾期付款总额每日万分之五向乙方支付违约金。</w:t>
      </w:r>
    </w:p>
    <w:p w14:paraId="1FF44E9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3、乙方逾期交付货物的，延期交货每</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个工作日</w:t>
      </w:r>
      <w:r>
        <w:rPr>
          <w:rFonts w:hint="eastAsia" w:ascii="新宋体" w:hAnsi="新宋体" w:eastAsia="新宋体" w:cs="新宋体"/>
          <w:color w:val="auto"/>
          <w:sz w:val="22"/>
          <w:szCs w:val="22"/>
          <w:highlight w:val="none"/>
        </w:rPr>
        <w:t>，按合同总价的0.5%支付迟交违约金，依次累计，最高罚款为合同总价的5%。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11FA737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895FA1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乙方发生一次下列情况之一，必须及时对租赁设备及耗材进行处理，若造成甲方损失的，乙方应赔偿损失（该损失包括但不限于甲方可期待利益损失；为维持医院正常运营由于违约行为额外支付的维修费、耗材采购费、设备租赁费；由此向第三方支付的损害赔偿金、为解决纠纷支付的律师费、诉讼费、差旅费等合理费用），按损失部分的2倍进行赔偿；如合同有效期内累积发生以下情形三次，甲方有权终止合同，并没收乙方一个月的耗材款：（1）入库验收和使用中发现租赁设备或耗材达不到产品的验收要求，功能性能要求或甲方使用要求的；（2）不按时供货；（3）在使用过程中发生医疗器械不良事件或质量问题；（4）交货时，货物已过保质期的。</w:t>
      </w:r>
    </w:p>
    <w:p w14:paraId="10AE842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、不可抗力事件处理</w:t>
      </w:r>
    </w:p>
    <w:p w14:paraId="0EC106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1、不可抗力事件发生后，应立即通知对方，并寄送有关权威机构出具的证明。</w:t>
      </w:r>
    </w:p>
    <w:p w14:paraId="46BC4B5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2、不可抗力事件延续120天以上，双方应通过友好协商，确定是否继续履行合同。</w:t>
      </w:r>
    </w:p>
    <w:p w14:paraId="1C3160A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、破产终止合同</w:t>
      </w:r>
    </w:p>
    <w:p w14:paraId="1DD925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如果乙方破产或无服务能力时，甲方可在任何时候以书面形式通知乙方终止合同。该终止合同的行为将不损害或影响甲方已经采取或将要采取的补救措施的权利。</w:t>
      </w:r>
    </w:p>
    <w:p w14:paraId="60B007F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、仲裁</w:t>
      </w:r>
    </w:p>
    <w:p w14:paraId="12D77F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1、双方在履行合同中所发生的一切争议，应通过协商解决。如协商不成，应向甲方住所地所在的仲裁机构提交仲裁。</w:t>
      </w:r>
    </w:p>
    <w:p w14:paraId="5E1EE0D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2、在仲裁期间，除正在进行仲裁的部份外，本合同其他部份应继续执行。</w:t>
      </w:r>
    </w:p>
    <w:p w14:paraId="5944415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3、仲裁费用除仲裁机构另行有裁决外，由败诉方承担。</w:t>
      </w:r>
    </w:p>
    <w:p w14:paraId="149382D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、其他约定条款</w:t>
      </w:r>
    </w:p>
    <w:p w14:paraId="3C98F9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内，乙方不得对甲方订货量提出任何要求。若今后该项目耗材纳入国家、省或市集中招标采购目录，本合同同品牌耗材未能中标，则合同自动终止，如中标，则按中标价格与采购方式执行。</w:t>
      </w:r>
    </w:p>
    <w:p w14:paraId="587EFE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货物送达医院时，应在送货单上注明货物名称、规格（型号）、注册证号、制造商、生产日期（或生产批号）、产品有效期；如该货物为已消毒产品需注明灭菌日期（或灭菌批号）和灭菌有效期。货物名称和货物规格（型号）须与产品注册证一致。如果属于需要冷链管理的试剂（耗品），需要提供冷链溯源证据。</w:t>
      </w:r>
    </w:p>
    <w:p w14:paraId="0F40250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对货物的外包装完好性、数量、规格、厂家、生产批号、灭菌日期（灭菌批号）、有效期、注册证、冷链溯源证明等信息进行核对无误后进行入库验收。若验收不合格，供应商必须更换货物，并且赔偿由此给甲方造成的损失；入库记录为入库验收的唯一有效凭证，入库验收时间以入库记录时间为准。</w:t>
      </w:r>
    </w:p>
    <w:p w14:paraId="2787DA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4、乙方发生一次下列情况之一，必须及时对货物进行处理；若造成甲方损失的，乙方应赔偿损失；如多次（三次或三次以上）发生的，甲方有权终止合同：</w:t>
      </w:r>
    </w:p>
    <w:p w14:paraId="3DD185D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⑴入库验收和使用中发现货物达不到产品的验收要求、功能性能要求或甲方使用要求；</w:t>
      </w:r>
    </w:p>
    <w:p w14:paraId="3CC63743">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⑵不按时供货；</w:t>
      </w:r>
    </w:p>
    <w:p w14:paraId="0BA7E269">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⑶在使用过程中发生医疗器械不良事件或质量问题；</w:t>
      </w:r>
    </w:p>
    <w:p w14:paraId="0BAED3C2">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⑷交货时，货物已过保质期。</w:t>
      </w:r>
    </w:p>
    <w:p w14:paraId="6AF16B5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5、乙方发生下列情况之一，甲方有权终止合同：</w:t>
      </w:r>
    </w:p>
    <w:p w14:paraId="773D478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⑴供应商的任一资质证书（含执行本合同须提供的相关证书）已过有效期的且无法提供新的资质证书；</w:t>
      </w:r>
    </w:p>
    <w:p w14:paraId="164CD05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⑵乙方在产品经销过程中，有违法违纪行为的；</w:t>
      </w:r>
    </w:p>
    <w:p w14:paraId="247343D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⑶货物发生质量问题且乙方无法解决。</w:t>
      </w:r>
    </w:p>
    <w:p w14:paraId="503F54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6、特别约定：</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间如遇政策性原因导致合同无法履行，则合同自行终止，已提供的相关设备由乙方收回。</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内设备故障期间外送检测所需的所有费用均由乙方负责。其他未尽事宜，以乙方承诺书和投标文件响应为准。</w:t>
      </w:r>
    </w:p>
    <w:p w14:paraId="77FDD69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、合同生效及其他</w:t>
      </w:r>
    </w:p>
    <w:p w14:paraId="3ACED89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1、合同经双方签字并加盖公章或合同专用章后生效。</w:t>
      </w:r>
    </w:p>
    <w:p w14:paraId="1609D9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2、合同签定地点：温州市第七人民医院。</w:t>
      </w:r>
    </w:p>
    <w:p w14:paraId="66440E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3、合同执行中，如需修改或补充合同内容，经协商，双方应签署书面修改或补充协议。该协议将作为合同不可分割的一部分。</w:t>
      </w:r>
    </w:p>
    <w:p w14:paraId="4A4D6BC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、其它</w:t>
      </w:r>
    </w:p>
    <w:p w14:paraId="7DF5BD4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1、招标文件、补充文件、投标文件及答疑纪要、中标通知书等作为本合同的附件，与本合同具有同等法律效力。</w:t>
      </w:r>
    </w:p>
    <w:p w14:paraId="62F51F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2、本合同一式四份，甲方执三份，乙方执一份，双方签字盖章后生效，违约及其处罚按经济民法典及本合同有关条款执行。</w:t>
      </w:r>
    </w:p>
    <w:p w14:paraId="5E603A6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3、具体配置见合同附件（共</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页）：与本合同相关的设备配置清单、耗材价格表等。合同附件是本合同不可分割的一部分，具有同等法律效力。</w:t>
      </w:r>
    </w:p>
    <w:p w14:paraId="7602E37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4、其它约定：未尽事宜以投标文件和承诺书为准。</w:t>
      </w:r>
    </w:p>
    <w:p w14:paraId="100660A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5、以上协议未尽之处，双方协商解决。</w:t>
      </w:r>
    </w:p>
    <w:p w14:paraId="7009F6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p>
    <w:p w14:paraId="544FD2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甲方（盖章）：温州市第七人民医院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乙方（盖章）：</w:t>
      </w:r>
    </w:p>
    <w:p w14:paraId="5554C3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签约代表（签字）：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签约代表（签字）：</w:t>
      </w:r>
    </w:p>
    <w:p w14:paraId="346B2A3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GB"/>
        </w:rPr>
        <w:t xml:space="preserve">地址：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地址</w:t>
      </w:r>
      <w:r>
        <w:rPr>
          <w:rFonts w:hint="eastAsia" w:ascii="新宋体" w:hAnsi="新宋体" w:eastAsia="新宋体" w:cs="新宋体"/>
          <w:color w:val="auto"/>
          <w:sz w:val="22"/>
          <w:szCs w:val="22"/>
          <w:highlight w:val="none"/>
          <w:lang w:eastAsia="zh-CN"/>
        </w:rPr>
        <w:t>：</w:t>
      </w:r>
    </w:p>
    <w:p w14:paraId="220AF1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电话：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电话：</w:t>
      </w:r>
    </w:p>
    <w:p w14:paraId="6205D69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开户行：</w:t>
      </w:r>
    </w:p>
    <w:p w14:paraId="00F8246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银行账号：</w:t>
      </w:r>
    </w:p>
    <w:p w14:paraId="2EE861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b/>
          <w:bCs/>
          <w:color w:val="auto"/>
          <w:kern w:val="0"/>
          <w:sz w:val="30"/>
          <w:szCs w:val="30"/>
          <w:highlight w:val="none"/>
        </w:rPr>
      </w:pPr>
      <w:r>
        <w:rPr>
          <w:rFonts w:hint="eastAsia" w:ascii="新宋体" w:hAnsi="新宋体" w:eastAsia="新宋体" w:cs="新宋体"/>
          <w:color w:val="auto"/>
          <w:sz w:val="22"/>
          <w:szCs w:val="22"/>
          <w:highlight w:val="none"/>
        </w:rPr>
        <w:t>日期：    年   月   日</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日期：</w:t>
      </w:r>
      <w:r>
        <w:rPr>
          <w:rFonts w:hint="eastAsia" w:ascii="新宋体" w:hAnsi="新宋体" w:eastAsia="新宋体" w:cs="新宋体"/>
          <w:color w:val="auto"/>
          <w:sz w:val="22"/>
          <w:szCs w:val="22"/>
          <w:highlight w:val="none"/>
        </w:rPr>
        <w:t xml:space="preserve">    年   月   日</w:t>
      </w:r>
    </w:p>
    <w:p w14:paraId="20707FFC">
      <w:pPr>
        <w:rPr>
          <w:rFonts w:ascii="新宋体" w:hAnsi="新宋体" w:eastAsia="新宋体" w:cs="新宋体"/>
          <w:b/>
          <w:bCs/>
          <w:color w:val="auto"/>
          <w:kern w:val="0"/>
          <w:sz w:val="30"/>
          <w:szCs w:val="30"/>
          <w:highlight w:val="none"/>
        </w:rPr>
      </w:pPr>
      <w:r>
        <w:rPr>
          <w:rFonts w:ascii="新宋体" w:hAnsi="新宋体" w:eastAsia="新宋体" w:cs="新宋体"/>
          <w:b/>
          <w:bCs/>
          <w:color w:val="auto"/>
          <w:kern w:val="0"/>
          <w:sz w:val="30"/>
          <w:szCs w:val="30"/>
          <w:highlight w:val="none"/>
        </w:rPr>
        <w:br w:type="page"/>
      </w:r>
    </w:p>
    <w:p w14:paraId="49A2349D">
      <w:pPr>
        <w:pStyle w:val="25"/>
        <w:keepNext w:val="0"/>
        <w:keepLines w:val="0"/>
        <w:pageBreakBefore w:val="0"/>
        <w:kinsoku/>
        <w:wordWrap/>
        <w:topLinePunct w:val="0"/>
        <w:bidi w:val="0"/>
        <w:snapToGrid w:val="0"/>
        <w:spacing w:line="460" w:lineRule="exact"/>
        <w:jc w:val="both"/>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2"/>
          <w:szCs w:val="22"/>
          <w:highlight w:val="none"/>
        </w:rPr>
        <w:t>附件：</w:t>
      </w:r>
    </w:p>
    <w:p w14:paraId="5E1A06A1">
      <w:pPr>
        <w:keepNext w:val="0"/>
        <w:keepLines w:val="0"/>
        <w:pageBreakBefore w:val="0"/>
        <w:kinsoku/>
        <w:wordWrap/>
        <w:topLinePunct w:val="0"/>
        <w:bidi w:val="0"/>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医疗卫生机构医药产品廉洁购销合同（样本）</w:t>
      </w:r>
    </w:p>
    <w:p w14:paraId="70EB0A1D">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727F9AE2">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4BC5D574">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6EC77D4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117252D5">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4315BEF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2097A391">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4954978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1E229A6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68A293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1ABBACF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36E4AFC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0CF3381E">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p>
    <w:p w14:paraId="3FD1CF7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161E90F3">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77791DA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经办人签名：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 xml:space="preserve"> 经办人签名：</w:t>
      </w:r>
    </w:p>
    <w:p w14:paraId="78F53817">
      <w:pPr>
        <w:pStyle w:val="25"/>
        <w:keepNext w:val="0"/>
        <w:keepLines w:val="0"/>
        <w:pageBreakBefore w:val="0"/>
        <w:kinsoku/>
        <w:wordWrap/>
        <w:topLinePunct w:val="0"/>
        <w:bidi w:val="0"/>
        <w:snapToGrid w:val="0"/>
        <w:spacing w:line="460" w:lineRule="exact"/>
        <w:ind w:firstLine="660" w:firstLineChars="3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1E335D2B">
      <w:pPr>
        <w:spacing w:line="430" w:lineRule="exact"/>
        <w:jc w:val="center"/>
        <w:outlineLvl w:val="0"/>
        <w:rPr>
          <w:rFonts w:ascii="黑体" w:hAnsi="黑体" w:eastAsia="黑体"/>
          <w:bCs/>
          <w:color w:val="auto"/>
          <w:sz w:val="36"/>
          <w:szCs w:val="36"/>
          <w:highlight w:val="none"/>
        </w:rPr>
      </w:pPr>
      <w:r>
        <w:rPr>
          <w:rFonts w:hint="eastAsia" w:hAnsi="宋体" w:cs="宋体"/>
          <w:bCs/>
          <w:color w:val="auto"/>
          <w:sz w:val="28"/>
          <w:szCs w:val="28"/>
          <w:highlight w:val="none"/>
        </w:rPr>
        <w:br w:type="page"/>
      </w:r>
      <w:bookmarkEnd w:id="55"/>
      <w:bookmarkStart w:id="57" w:name="_Toc11853"/>
      <w:r>
        <w:rPr>
          <w:rFonts w:hint="eastAsia" w:ascii="黑体" w:hAnsi="黑体" w:eastAsia="黑体"/>
          <w:b/>
          <w:bCs/>
          <w:color w:val="auto"/>
          <w:kern w:val="44"/>
          <w:sz w:val="36"/>
          <w:szCs w:val="36"/>
          <w:highlight w:val="none"/>
        </w:rPr>
        <w:t>第四部分  附   件</w:t>
      </w:r>
      <w:bookmarkEnd w:id="56"/>
      <w:bookmarkEnd w:id="57"/>
    </w:p>
    <w:p w14:paraId="26A2F645">
      <w:pPr>
        <w:pStyle w:val="4"/>
        <w:spacing w:line="240" w:lineRule="auto"/>
        <w:rPr>
          <w:rFonts w:ascii="宋体" w:hAnsi="宋体" w:eastAsia="宋体" w:cs="宋体"/>
          <w:color w:val="auto"/>
          <w:sz w:val="24"/>
          <w:szCs w:val="24"/>
          <w:highlight w:val="none"/>
        </w:rPr>
      </w:pPr>
      <w:bookmarkStart w:id="58" w:name="_Toc4685"/>
      <w:bookmarkStart w:id="59" w:name="_Toc230773784"/>
      <w:r>
        <w:rPr>
          <w:rFonts w:hint="eastAsia" w:ascii="宋体" w:hAnsi="宋体" w:eastAsia="宋体" w:cs="宋体"/>
          <w:color w:val="auto"/>
          <w:sz w:val="24"/>
          <w:szCs w:val="24"/>
          <w:highlight w:val="none"/>
        </w:rPr>
        <w:t>附件一 投标函</w:t>
      </w:r>
      <w:bookmarkEnd w:id="58"/>
      <w:bookmarkEnd w:id="59"/>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项目（项目编号:</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60" w:name="_Toc195336280"/>
      <w:bookmarkStart w:id="61" w:name="_Toc218392089"/>
      <w:bookmarkStart w:id="62"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4"/>
        <w:spacing w:line="240" w:lineRule="auto"/>
        <w:rPr>
          <w:rFonts w:ascii="宋体" w:hAnsi="宋体" w:eastAsia="宋体" w:cs="宋体"/>
          <w:color w:val="auto"/>
          <w:sz w:val="24"/>
          <w:szCs w:val="24"/>
          <w:highlight w:val="none"/>
        </w:rPr>
      </w:pPr>
      <w:bookmarkStart w:id="63" w:name="_Toc17912"/>
      <w:r>
        <w:rPr>
          <w:rFonts w:hint="eastAsia" w:ascii="宋体" w:hAnsi="宋体" w:eastAsia="宋体" w:cs="宋体"/>
          <w:color w:val="auto"/>
          <w:sz w:val="24"/>
          <w:szCs w:val="24"/>
          <w:highlight w:val="none"/>
        </w:rPr>
        <w:t>附件二</w:t>
      </w:r>
      <w:bookmarkEnd w:id="60"/>
      <w:bookmarkEnd w:id="61"/>
      <w:r>
        <w:rPr>
          <w:rFonts w:hint="eastAsia" w:ascii="宋体" w:hAnsi="宋体" w:eastAsia="宋体" w:cs="宋体"/>
          <w:color w:val="auto"/>
          <w:sz w:val="24"/>
          <w:szCs w:val="24"/>
          <w:highlight w:val="none"/>
        </w:rPr>
        <w:t xml:space="preserve"> 投标报价一览表</w:t>
      </w:r>
      <w:bookmarkEnd w:id="62"/>
      <w:bookmarkEnd w:id="63"/>
    </w:p>
    <w:p w14:paraId="5DF3224F">
      <w:pPr>
        <w:spacing w:line="380" w:lineRule="exact"/>
        <w:jc w:val="center"/>
        <w:rPr>
          <w:rFonts w:ascii="宋体" w:hAnsi="宋体" w:cs="宋体"/>
          <w:b/>
          <w:bCs/>
          <w:color w:val="auto"/>
          <w:sz w:val="28"/>
          <w:highlight w:val="none"/>
        </w:rPr>
      </w:pPr>
      <w:bookmarkStart w:id="64" w:name="_Toc195336281"/>
      <w:bookmarkStart w:id="65" w:name="_Toc218392090"/>
      <w:bookmarkStart w:id="66" w:name="_Toc345161250"/>
      <w:bookmarkStart w:id="67" w:name="_Toc230773786"/>
      <w:bookmarkStart w:id="68"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3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3"/>
        <w:gridCol w:w="4305"/>
        <w:gridCol w:w="1462"/>
      </w:tblGrid>
      <w:tr w14:paraId="5BF1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0" w:type="dxa"/>
            <w:noWrap w:val="0"/>
            <w:vAlign w:val="center"/>
          </w:tcPr>
          <w:p w14:paraId="1C644B35">
            <w:pPr>
              <w:spacing w:line="380" w:lineRule="exact"/>
              <w:jc w:val="center"/>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序号</w:t>
            </w:r>
          </w:p>
        </w:tc>
        <w:tc>
          <w:tcPr>
            <w:tcW w:w="2883" w:type="dxa"/>
            <w:noWrap w:val="0"/>
            <w:vAlign w:val="center"/>
          </w:tcPr>
          <w:p w14:paraId="7C2A87D0">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szCs w:val="22"/>
                <w:highlight w:val="none"/>
              </w:rPr>
              <w:t>名称</w:t>
            </w:r>
          </w:p>
        </w:tc>
        <w:tc>
          <w:tcPr>
            <w:tcW w:w="4305" w:type="dxa"/>
            <w:noWrap w:val="0"/>
            <w:vAlign w:val="center"/>
          </w:tcPr>
          <w:p w14:paraId="004E1547">
            <w:pPr>
              <w:tabs>
                <w:tab w:val="left" w:pos="360"/>
              </w:tabs>
              <w:spacing w:line="460" w:lineRule="exact"/>
              <w:jc w:val="center"/>
              <w:rPr>
                <w:rFonts w:hint="eastAsia" w:ascii="宋体" w:hAnsi="宋体" w:eastAsia="新宋体" w:cs="宋体"/>
                <w:b/>
                <w:bCs/>
                <w:color w:val="auto"/>
                <w:sz w:val="22"/>
                <w:highlight w:val="none"/>
                <w:lang w:val="en-US" w:eastAsia="zh-CN"/>
              </w:rPr>
            </w:pPr>
            <w:r>
              <w:rPr>
                <w:rFonts w:hint="eastAsia" w:ascii="新宋体" w:hAnsi="新宋体" w:eastAsia="新宋体" w:cs="新宋体"/>
                <w:b/>
                <w:bCs/>
                <w:color w:val="auto"/>
                <w:sz w:val="22"/>
                <w:szCs w:val="22"/>
                <w:highlight w:val="none"/>
                <w:lang w:val="en-US" w:eastAsia="zh-CN"/>
              </w:rPr>
              <w:t>报价（人民币/元）</w:t>
            </w:r>
          </w:p>
        </w:tc>
        <w:tc>
          <w:tcPr>
            <w:tcW w:w="1462" w:type="dxa"/>
            <w:noWrap w:val="0"/>
            <w:vAlign w:val="center"/>
          </w:tcPr>
          <w:p w14:paraId="350E0996">
            <w:pPr>
              <w:tabs>
                <w:tab w:val="left" w:pos="360"/>
              </w:tabs>
              <w:spacing w:line="460" w:lineRule="exact"/>
              <w:jc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备注</w:t>
            </w:r>
          </w:p>
        </w:tc>
      </w:tr>
      <w:tr w14:paraId="0C8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00" w:type="dxa"/>
            <w:vMerge w:val="restart"/>
            <w:noWrap w:val="0"/>
            <w:vAlign w:val="center"/>
          </w:tcPr>
          <w:p w14:paraId="0E27ABA7">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2883" w:type="dxa"/>
            <w:noWrap w:val="0"/>
            <w:vAlign w:val="center"/>
          </w:tcPr>
          <w:p w14:paraId="458DFD3F">
            <w:pPr>
              <w:spacing w:line="460" w:lineRule="exact"/>
              <w:jc w:val="center"/>
              <w:rPr>
                <w:rFonts w:hint="eastAsia" w:ascii="宋体" w:hAnsi="宋体" w:eastAsia="宋体" w:cs="宋体"/>
                <w:color w:val="auto"/>
                <w:sz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4305" w:type="dxa"/>
            <w:noWrap w:val="0"/>
            <w:vAlign w:val="center"/>
          </w:tcPr>
          <w:p w14:paraId="515B2140">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7227150D">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00F58B4F">
            <w:pPr>
              <w:tabs>
                <w:tab w:val="left" w:pos="360"/>
              </w:tabs>
              <w:spacing w:line="460" w:lineRule="exact"/>
              <w:jc w:val="both"/>
              <w:rPr>
                <w:rFonts w:hint="eastAsia" w:ascii="宋体" w:hAnsi="宋体" w:eastAsia="宋体" w:cs="宋体"/>
                <w:color w:val="auto"/>
                <w:sz w:val="22"/>
                <w:highlight w:val="none"/>
              </w:rPr>
            </w:pPr>
          </w:p>
        </w:tc>
      </w:tr>
      <w:tr w14:paraId="022C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00" w:type="dxa"/>
            <w:vMerge w:val="continue"/>
            <w:noWrap w:val="0"/>
            <w:vAlign w:val="center"/>
          </w:tcPr>
          <w:p w14:paraId="13656FBD">
            <w:pPr>
              <w:spacing w:line="380" w:lineRule="exact"/>
              <w:jc w:val="center"/>
              <w:rPr>
                <w:rFonts w:hint="eastAsia" w:ascii="宋体" w:hAnsi="宋体" w:eastAsia="宋体" w:cs="宋体"/>
                <w:color w:val="auto"/>
                <w:sz w:val="22"/>
                <w:highlight w:val="none"/>
                <w:lang w:val="en-US" w:eastAsia="zh-CN"/>
              </w:rPr>
            </w:pPr>
          </w:p>
        </w:tc>
        <w:tc>
          <w:tcPr>
            <w:tcW w:w="2883" w:type="dxa"/>
            <w:noWrap w:val="0"/>
            <w:vAlign w:val="center"/>
          </w:tcPr>
          <w:p w14:paraId="36962368">
            <w:pPr>
              <w:spacing w:line="460" w:lineRule="exact"/>
              <w:jc w:val="center"/>
              <w:rPr>
                <w:rFonts w:hint="eastAsia" w:ascii="宋体" w:hAnsi="宋体" w:eastAsia="宋体" w:cs="宋体"/>
                <w:color w:val="auto"/>
                <w:sz w:val="22"/>
                <w:highlight w:val="none"/>
              </w:rPr>
            </w:pPr>
            <w:r>
              <w:rPr>
                <w:rFonts w:hint="eastAsia" w:ascii="新宋体" w:hAnsi="新宋体" w:eastAsia="新宋体"/>
                <w:b w:val="0"/>
                <w:bCs/>
                <w:color w:val="auto"/>
                <w:sz w:val="22"/>
                <w:szCs w:val="22"/>
                <w:highlight w:val="none"/>
              </w:rPr>
              <w:t>配套设备租赁</w:t>
            </w:r>
          </w:p>
        </w:tc>
        <w:tc>
          <w:tcPr>
            <w:tcW w:w="4305" w:type="dxa"/>
            <w:noWrap w:val="0"/>
            <w:vAlign w:val="center"/>
          </w:tcPr>
          <w:p w14:paraId="162EB19A">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50C61DBB">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1A77BE23">
            <w:pPr>
              <w:tabs>
                <w:tab w:val="left" w:pos="360"/>
              </w:tabs>
              <w:spacing w:line="460" w:lineRule="exact"/>
              <w:jc w:val="both"/>
              <w:rPr>
                <w:rFonts w:hint="eastAsia" w:ascii="宋体" w:hAnsi="宋体" w:eastAsia="宋体" w:cs="宋体"/>
                <w:color w:val="auto"/>
                <w:sz w:val="22"/>
                <w:highlight w:val="none"/>
              </w:rPr>
            </w:pPr>
          </w:p>
        </w:tc>
      </w:tr>
      <w:tr w14:paraId="4EE1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783" w:type="dxa"/>
            <w:gridSpan w:val="2"/>
            <w:noWrap w:val="0"/>
            <w:vAlign w:val="center"/>
          </w:tcPr>
          <w:p w14:paraId="243D61D7">
            <w:pPr>
              <w:spacing w:line="380" w:lineRule="exact"/>
              <w:jc w:val="center"/>
              <w:rPr>
                <w:rFonts w:ascii="Times New Roman" w:hAnsi="Times New Roman" w:eastAsia="新宋体"/>
                <w:bCs/>
                <w:color w:val="auto"/>
                <w:sz w:val="22"/>
                <w:szCs w:val="22"/>
                <w:highlight w:val="none"/>
              </w:rPr>
            </w:pPr>
            <w:r>
              <w:rPr>
                <w:rFonts w:hint="eastAsia" w:ascii="Times New Roman" w:hAnsi="Times New Roman" w:eastAsia="新宋体"/>
                <w:bCs/>
                <w:color w:val="auto"/>
                <w:sz w:val="22"/>
                <w:szCs w:val="22"/>
                <w:highlight w:val="none"/>
                <w:lang w:val="en-US" w:eastAsia="zh-CN"/>
              </w:rPr>
              <w:t>总</w:t>
            </w:r>
            <w:r>
              <w:rPr>
                <w:rFonts w:ascii="Times New Roman" w:hAnsi="Times New Roman" w:eastAsia="新宋体"/>
                <w:bCs/>
                <w:color w:val="auto"/>
                <w:sz w:val="22"/>
                <w:szCs w:val="22"/>
                <w:highlight w:val="none"/>
              </w:rPr>
              <w:t>报价</w:t>
            </w:r>
          </w:p>
          <w:p w14:paraId="59F21D3C">
            <w:pPr>
              <w:spacing w:line="380" w:lineRule="exact"/>
              <w:jc w:val="center"/>
              <w:rPr>
                <w:rFonts w:hint="eastAsia" w:ascii="宋体" w:hAnsi="宋体" w:cs="宋体"/>
                <w:b/>
                <w:bCs/>
                <w:color w:val="auto"/>
                <w:sz w:val="22"/>
                <w:highlight w:val="none"/>
                <w:lang w:val="en-US" w:eastAsia="zh-CN"/>
              </w:rPr>
            </w:pPr>
            <w:r>
              <w:rPr>
                <w:rFonts w:ascii="Times New Roman" w:hAnsi="Times New Roman" w:eastAsia="新宋体"/>
                <w:bCs/>
                <w:color w:val="auto"/>
                <w:sz w:val="22"/>
                <w:szCs w:val="22"/>
                <w:highlight w:val="none"/>
              </w:rPr>
              <w:t>（</w:t>
            </w:r>
            <w:r>
              <w:rPr>
                <w:rFonts w:hint="eastAsia" w:ascii="新宋体" w:hAnsi="新宋体" w:eastAsia="新宋体"/>
                <w:b w:val="0"/>
                <w:bCs/>
                <w:color w:val="auto"/>
                <w:sz w:val="22"/>
                <w:szCs w:val="22"/>
                <w:highlight w:val="none"/>
              </w:rPr>
              <w:t>耗材</w:t>
            </w:r>
            <w:r>
              <w:rPr>
                <w:rFonts w:hint="eastAsia" w:ascii="新宋体" w:hAnsi="新宋体" w:eastAsia="新宋体"/>
                <w:b w:val="0"/>
                <w:bCs/>
                <w:color w:val="auto"/>
                <w:sz w:val="22"/>
                <w:szCs w:val="22"/>
                <w:highlight w:val="none"/>
                <w:lang w:val="en-US" w:eastAsia="zh-CN"/>
              </w:rPr>
              <w:t>+</w:t>
            </w:r>
            <w:r>
              <w:rPr>
                <w:rFonts w:hint="eastAsia" w:ascii="新宋体" w:hAnsi="新宋体" w:eastAsia="新宋体"/>
                <w:b w:val="0"/>
                <w:bCs/>
                <w:color w:val="auto"/>
                <w:sz w:val="22"/>
                <w:szCs w:val="22"/>
                <w:highlight w:val="none"/>
              </w:rPr>
              <w:t>配套设备租赁</w:t>
            </w:r>
            <w:r>
              <w:rPr>
                <w:rFonts w:ascii="Times New Roman" w:hAnsi="Times New Roman" w:eastAsia="新宋体"/>
                <w:bCs/>
                <w:color w:val="auto"/>
                <w:sz w:val="22"/>
                <w:szCs w:val="22"/>
                <w:highlight w:val="none"/>
              </w:rPr>
              <w:t>）</w:t>
            </w:r>
          </w:p>
        </w:tc>
        <w:tc>
          <w:tcPr>
            <w:tcW w:w="4305" w:type="dxa"/>
            <w:noWrap w:val="0"/>
            <w:vAlign w:val="center"/>
          </w:tcPr>
          <w:p w14:paraId="610D5F36">
            <w:pPr>
              <w:spacing w:line="360" w:lineRule="auto"/>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大写：</w:t>
            </w:r>
          </w:p>
          <w:p w14:paraId="690024A5">
            <w:pPr>
              <w:spacing w:line="360" w:lineRule="auto"/>
              <w:jc w:val="both"/>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小写：</w:t>
            </w:r>
          </w:p>
        </w:tc>
        <w:tc>
          <w:tcPr>
            <w:tcW w:w="1462" w:type="dxa"/>
            <w:noWrap w:val="0"/>
            <w:vAlign w:val="center"/>
          </w:tcPr>
          <w:p w14:paraId="6D0DFAEF">
            <w:pPr>
              <w:spacing w:line="360" w:lineRule="auto"/>
              <w:jc w:val="center"/>
              <w:rPr>
                <w:rFonts w:hint="eastAsia" w:ascii="宋体" w:hAnsi="宋体" w:eastAsia="宋体" w:cs="宋体"/>
                <w:b/>
                <w:bCs/>
                <w:color w:val="auto"/>
                <w:sz w:val="22"/>
                <w:highlight w:val="none"/>
              </w:rPr>
            </w:pPr>
            <w:r>
              <w:rPr>
                <w:rFonts w:hint="eastAsia" w:ascii="宋体" w:hAnsi="宋体" w:cs="宋体"/>
                <w:color w:val="auto"/>
                <w:sz w:val="22"/>
                <w:highlight w:val="none"/>
                <w:lang w:val="en-US" w:eastAsia="zh-CN"/>
              </w:rPr>
              <w:t>1年服务期</w:t>
            </w:r>
          </w:p>
        </w:tc>
      </w:tr>
    </w:tbl>
    <w:p w14:paraId="66D7AF9E">
      <w:pPr>
        <w:spacing w:line="440" w:lineRule="exact"/>
        <w:ind w:left="521" w:leftChars="248" w:firstLine="216" w:firstLineChars="98"/>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w:t>
      </w:r>
    </w:p>
    <w:p w14:paraId="709E950A">
      <w:pPr>
        <w:spacing w:line="440" w:lineRule="exact"/>
        <w:ind w:left="521" w:leftChars="248" w:firstLine="216" w:firstLineChars="98"/>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1.此栏内投标报价应与附件三“投标分项报价表”中相应总计价相一致</w:t>
      </w:r>
      <w:r>
        <w:rPr>
          <w:rFonts w:hint="eastAsia" w:ascii="宋体" w:hAnsi="宋体" w:eastAsia="宋体" w:cs="Times New Roman"/>
          <w:b/>
          <w:bCs/>
          <w:color w:val="auto"/>
          <w:sz w:val="22"/>
          <w:szCs w:val="22"/>
          <w:highlight w:val="none"/>
          <w:lang w:eastAsia="zh-CN"/>
        </w:rPr>
        <w:t>。</w:t>
      </w:r>
    </w:p>
    <w:p w14:paraId="74ADBBE8">
      <w:pPr>
        <w:spacing w:line="440" w:lineRule="exact"/>
        <w:ind w:left="521" w:leftChars="248" w:firstLine="216" w:firstLineChars="98"/>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2.</w:t>
      </w:r>
      <w:r>
        <w:rPr>
          <w:rFonts w:hint="eastAsia" w:ascii="宋体" w:hAnsi="宋体" w:eastAsia="宋体" w:cs="Times New Roman"/>
          <w:b/>
          <w:bCs/>
          <w:color w:val="auto"/>
          <w:sz w:val="22"/>
          <w:szCs w:val="22"/>
          <w:highlight w:val="none"/>
        </w:rPr>
        <w:t>如投标人报价超过预算金额按无效标处理。</w:t>
      </w:r>
    </w:p>
    <w:p w14:paraId="08D9A17A">
      <w:pPr>
        <w:spacing w:line="440" w:lineRule="exact"/>
        <w:ind w:left="521" w:leftChars="248" w:firstLine="216" w:firstLineChars="98"/>
        <w:rPr>
          <w:rFonts w:hint="eastAsia" w:ascii="宋体" w:hAnsi="宋体" w:eastAsia="宋体"/>
          <w:b/>
          <w:bCs/>
          <w:color w:val="auto"/>
          <w:sz w:val="22"/>
          <w:szCs w:val="22"/>
          <w:highlight w:val="none"/>
          <w:lang w:eastAsia="zh-CN"/>
        </w:rPr>
      </w:pPr>
      <w:r>
        <w:rPr>
          <w:rFonts w:hint="eastAsia" w:ascii="宋体" w:hAnsi="宋体" w:eastAsia="宋体" w:cs="Times New Roman"/>
          <w:b/>
          <w:bCs/>
          <w:color w:val="auto"/>
          <w:sz w:val="22"/>
          <w:szCs w:val="22"/>
          <w:highlight w:val="none"/>
        </w:rPr>
        <w:t>3.▲</w:t>
      </w:r>
      <w:r>
        <w:rPr>
          <w:rFonts w:hint="eastAsia" w:ascii="宋体" w:hAnsi="宋体" w:eastAsia="宋体" w:cs="Times New Roman"/>
          <w:b/>
          <w:bCs/>
          <w:color w:val="auto"/>
          <w:sz w:val="22"/>
          <w:szCs w:val="22"/>
          <w:highlight w:val="none"/>
          <w:u w:val="single"/>
        </w:rPr>
        <w:t>不按规定提供投标报价一览表的投标文件将被视为未实质性响应招标文件</w:t>
      </w:r>
      <w:r>
        <w:rPr>
          <w:rFonts w:hint="eastAsia" w:ascii="宋体" w:hAnsi="宋体" w:eastAsia="宋体" w:cs="Times New Roman"/>
          <w:b/>
          <w:bCs/>
          <w:color w:val="auto"/>
          <w:sz w:val="22"/>
          <w:szCs w:val="22"/>
          <w:highlight w:val="none"/>
          <w:lang w:eastAsia="zh-CN"/>
        </w:rPr>
        <w:t>。</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4"/>
        <w:spacing w:line="240" w:lineRule="auto"/>
        <w:rPr>
          <w:rFonts w:ascii="宋体" w:hAnsi="宋体" w:eastAsia="宋体"/>
          <w:color w:val="auto"/>
          <w:sz w:val="24"/>
          <w:szCs w:val="24"/>
          <w:highlight w:val="none"/>
        </w:rPr>
      </w:pPr>
      <w:bookmarkStart w:id="69" w:name="_Toc340922814"/>
      <w:r>
        <w:rPr>
          <w:rFonts w:ascii="宋体" w:hAnsi="宋体" w:eastAsia="宋体"/>
          <w:color w:val="auto"/>
          <w:sz w:val="24"/>
          <w:szCs w:val="24"/>
          <w:highlight w:val="none"/>
        </w:rPr>
        <w:br w:type="page"/>
      </w:r>
      <w:bookmarkStart w:id="70" w:name="_Toc23721"/>
      <w:bookmarkStart w:id="71" w:name="_Toc20986"/>
      <w:bookmarkStart w:id="72" w:name="_Toc24680"/>
      <w:r>
        <w:rPr>
          <w:rFonts w:hint="eastAsia" w:ascii="宋体" w:hAnsi="宋体" w:eastAsia="宋体"/>
          <w:color w:val="auto"/>
          <w:sz w:val="24"/>
          <w:szCs w:val="24"/>
          <w:highlight w:val="none"/>
        </w:rPr>
        <w:t>附件三 投标分项报价表</w:t>
      </w:r>
      <w:bookmarkEnd w:id="70"/>
      <w:bookmarkEnd w:id="71"/>
      <w:bookmarkEnd w:id="72"/>
    </w:p>
    <w:p w14:paraId="789D960D">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25250078">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718"/>
        <w:gridCol w:w="1062"/>
        <w:gridCol w:w="582"/>
        <w:gridCol w:w="869"/>
        <w:gridCol w:w="1264"/>
        <w:gridCol w:w="876"/>
        <w:gridCol w:w="1001"/>
        <w:gridCol w:w="842"/>
      </w:tblGrid>
      <w:tr w14:paraId="62E0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325" w:type="pct"/>
            <w:vAlign w:val="center"/>
          </w:tcPr>
          <w:p w14:paraId="2330150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1379" w:type="pct"/>
            <w:vAlign w:val="center"/>
          </w:tcPr>
          <w:p w14:paraId="00AFEA34">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项目内容</w:t>
            </w:r>
          </w:p>
        </w:tc>
        <w:tc>
          <w:tcPr>
            <w:tcW w:w="539" w:type="pct"/>
            <w:vAlign w:val="center"/>
          </w:tcPr>
          <w:p w14:paraId="0DCABFA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型号和规格</w:t>
            </w:r>
          </w:p>
        </w:tc>
        <w:tc>
          <w:tcPr>
            <w:tcW w:w="295" w:type="pct"/>
            <w:vAlign w:val="center"/>
          </w:tcPr>
          <w:p w14:paraId="3FB35C5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数量</w:t>
            </w:r>
          </w:p>
        </w:tc>
        <w:tc>
          <w:tcPr>
            <w:tcW w:w="441" w:type="pct"/>
            <w:vAlign w:val="center"/>
          </w:tcPr>
          <w:p w14:paraId="6ADDF89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产地</w:t>
            </w:r>
          </w:p>
        </w:tc>
        <w:tc>
          <w:tcPr>
            <w:tcW w:w="641" w:type="pct"/>
            <w:vAlign w:val="center"/>
          </w:tcPr>
          <w:p w14:paraId="4B27F5FB">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制造商名称</w:t>
            </w:r>
          </w:p>
        </w:tc>
        <w:tc>
          <w:tcPr>
            <w:tcW w:w="444" w:type="pct"/>
            <w:vAlign w:val="center"/>
          </w:tcPr>
          <w:p w14:paraId="6889F29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单价（元）</w:t>
            </w:r>
          </w:p>
        </w:tc>
        <w:tc>
          <w:tcPr>
            <w:tcW w:w="505" w:type="pct"/>
            <w:vAlign w:val="center"/>
          </w:tcPr>
          <w:p w14:paraId="5ABE550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合价（元）</w:t>
            </w:r>
          </w:p>
        </w:tc>
        <w:tc>
          <w:tcPr>
            <w:tcW w:w="426" w:type="pct"/>
            <w:vAlign w:val="center"/>
          </w:tcPr>
          <w:p w14:paraId="3A4E5CC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备注</w:t>
            </w:r>
          </w:p>
        </w:tc>
      </w:tr>
      <w:tr w14:paraId="714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2BD0019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379" w:type="pct"/>
          </w:tcPr>
          <w:p w14:paraId="05CE0C6B">
            <w:pPr>
              <w:spacing w:line="400" w:lineRule="exact"/>
              <w:rPr>
                <w:rFonts w:ascii="宋体" w:hAnsi="宋体"/>
                <w:color w:val="auto"/>
                <w:sz w:val="22"/>
                <w:szCs w:val="22"/>
                <w:highlight w:val="none"/>
              </w:rPr>
            </w:pPr>
            <w:r>
              <w:rPr>
                <w:rFonts w:hint="eastAsia" w:ascii="宋体" w:hAnsi="宋体"/>
                <w:color w:val="auto"/>
                <w:sz w:val="22"/>
                <w:szCs w:val="22"/>
                <w:highlight w:val="none"/>
              </w:rPr>
              <w:t>主要货物（根据供货清单详细分项列出）(含税)</w:t>
            </w:r>
          </w:p>
        </w:tc>
        <w:tc>
          <w:tcPr>
            <w:tcW w:w="539" w:type="pct"/>
            <w:vAlign w:val="center"/>
          </w:tcPr>
          <w:p w14:paraId="45077FE0">
            <w:pPr>
              <w:spacing w:line="380" w:lineRule="exact"/>
              <w:jc w:val="center"/>
              <w:rPr>
                <w:rFonts w:ascii="宋体" w:hAnsi="宋体"/>
                <w:bCs/>
                <w:color w:val="auto"/>
                <w:sz w:val="22"/>
                <w:szCs w:val="22"/>
                <w:highlight w:val="none"/>
              </w:rPr>
            </w:pPr>
          </w:p>
        </w:tc>
        <w:tc>
          <w:tcPr>
            <w:tcW w:w="295" w:type="pct"/>
            <w:vAlign w:val="center"/>
          </w:tcPr>
          <w:p w14:paraId="773AD436">
            <w:pPr>
              <w:spacing w:line="380" w:lineRule="exact"/>
              <w:jc w:val="center"/>
              <w:rPr>
                <w:rFonts w:ascii="宋体" w:hAnsi="宋体"/>
                <w:bCs/>
                <w:color w:val="auto"/>
                <w:sz w:val="22"/>
                <w:szCs w:val="22"/>
                <w:highlight w:val="none"/>
              </w:rPr>
            </w:pPr>
          </w:p>
        </w:tc>
        <w:tc>
          <w:tcPr>
            <w:tcW w:w="441" w:type="pct"/>
            <w:vAlign w:val="center"/>
          </w:tcPr>
          <w:p w14:paraId="41A9C492">
            <w:pPr>
              <w:spacing w:line="380" w:lineRule="exact"/>
              <w:jc w:val="center"/>
              <w:rPr>
                <w:rFonts w:ascii="宋体" w:hAnsi="宋体"/>
                <w:bCs/>
                <w:color w:val="auto"/>
                <w:sz w:val="22"/>
                <w:szCs w:val="22"/>
                <w:highlight w:val="none"/>
              </w:rPr>
            </w:pPr>
          </w:p>
        </w:tc>
        <w:tc>
          <w:tcPr>
            <w:tcW w:w="641" w:type="pct"/>
            <w:vAlign w:val="center"/>
          </w:tcPr>
          <w:p w14:paraId="45759D4D">
            <w:pPr>
              <w:spacing w:line="380" w:lineRule="exact"/>
              <w:jc w:val="center"/>
              <w:rPr>
                <w:rFonts w:ascii="宋体" w:hAnsi="宋体"/>
                <w:bCs/>
                <w:color w:val="auto"/>
                <w:sz w:val="22"/>
                <w:szCs w:val="22"/>
                <w:highlight w:val="none"/>
              </w:rPr>
            </w:pPr>
          </w:p>
        </w:tc>
        <w:tc>
          <w:tcPr>
            <w:tcW w:w="444" w:type="pct"/>
            <w:vAlign w:val="center"/>
          </w:tcPr>
          <w:p w14:paraId="4BDB21E8">
            <w:pPr>
              <w:spacing w:line="380" w:lineRule="exact"/>
              <w:jc w:val="center"/>
              <w:rPr>
                <w:rFonts w:ascii="宋体" w:hAnsi="宋体"/>
                <w:bCs/>
                <w:color w:val="auto"/>
                <w:sz w:val="22"/>
                <w:szCs w:val="22"/>
                <w:highlight w:val="none"/>
              </w:rPr>
            </w:pPr>
          </w:p>
        </w:tc>
        <w:tc>
          <w:tcPr>
            <w:tcW w:w="505" w:type="pct"/>
            <w:vAlign w:val="center"/>
          </w:tcPr>
          <w:p w14:paraId="515D203D">
            <w:pPr>
              <w:spacing w:line="380" w:lineRule="exact"/>
              <w:jc w:val="center"/>
              <w:rPr>
                <w:rFonts w:ascii="宋体" w:hAnsi="宋体"/>
                <w:bCs/>
                <w:color w:val="auto"/>
                <w:sz w:val="22"/>
                <w:szCs w:val="22"/>
                <w:highlight w:val="none"/>
              </w:rPr>
            </w:pPr>
          </w:p>
        </w:tc>
        <w:tc>
          <w:tcPr>
            <w:tcW w:w="426" w:type="pct"/>
            <w:vAlign w:val="center"/>
          </w:tcPr>
          <w:p w14:paraId="2596A731">
            <w:pPr>
              <w:spacing w:line="380" w:lineRule="exact"/>
              <w:jc w:val="center"/>
              <w:rPr>
                <w:rFonts w:ascii="宋体" w:hAnsi="宋体"/>
                <w:bCs/>
                <w:color w:val="auto"/>
                <w:sz w:val="22"/>
                <w:szCs w:val="22"/>
                <w:highlight w:val="none"/>
              </w:rPr>
            </w:pPr>
          </w:p>
        </w:tc>
      </w:tr>
      <w:tr w14:paraId="5283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5" w:type="pct"/>
            <w:vAlign w:val="center"/>
          </w:tcPr>
          <w:p w14:paraId="4363938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2</w:t>
            </w:r>
          </w:p>
        </w:tc>
        <w:tc>
          <w:tcPr>
            <w:tcW w:w="1379" w:type="pct"/>
            <w:vAlign w:val="top"/>
          </w:tcPr>
          <w:p w14:paraId="040C4362">
            <w:pPr>
              <w:spacing w:line="40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配套设备租赁</w:t>
            </w:r>
          </w:p>
        </w:tc>
        <w:tc>
          <w:tcPr>
            <w:tcW w:w="539" w:type="pct"/>
            <w:vAlign w:val="center"/>
          </w:tcPr>
          <w:p w14:paraId="558174E1">
            <w:pPr>
              <w:spacing w:line="380" w:lineRule="exact"/>
              <w:jc w:val="center"/>
              <w:rPr>
                <w:rFonts w:ascii="宋体" w:hAnsi="宋体"/>
                <w:bCs/>
                <w:color w:val="auto"/>
                <w:sz w:val="22"/>
                <w:szCs w:val="22"/>
                <w:highlight w:val="none"/>
              </w:rPr>
            </w:pPr>
          </w:p>
        </w:tc>
        <w:tc>
          <w:tcPr>
            <w:tcW w:w="295" w:type="pct"/>
            <w:vAlign w:val="center"/>
          </w:tcPr>
          <w:p w14:paraId="5CB3E831">
            <w:pPr>
              <w:spacing w:line="380" w:lineRule="exact"/>
              <w:jc w:val="center"/>
              <w:rPr>
                <w:rFonts w:ascii="宋体" w:hAnsi="宋体"/>
                <w:bCs/>
                <w:color w:val="auto"/>
                <w:sz w:val="22"/>
                <w:szCs w:val="22"/>
                <w:highlight w:val="none"/>
              </w:rPr>
            </w:pPr>
          </w:p>
        </w:tc>
        <w:tc>
          <w:tcPr>
            <w:tcW w:w="441" w:type="pct"/>
            <w:vAlign w:val="center"/>
          </w:tcPr>
          <w:p w14:paraId="173B1B41">
            <w:pPr>
              <w:spacing w:line="380" w:lineRule="exact"/>
              <w:jc w:val="center"/>
              <w:rPr>
                <w:rFonts w:ascii="宋体" w:hAnsi="宋体"/>
                <w:bCs/>
                <w:color w:val="auto"/>
                <w:sz w:val="22"/>
                <w:szCs w:val="22"/>
                <w:highlight w:val="none"/>
              </w:rPr>
            </w:pPr>
          </w:p>
        </w:tc>
        <w:tc>
          <w:tcPr>
            <w:tcW w:w="641" w:type="pct"/>
            <w:vAlign w:val="center"/>
          </w:tcPr>
          <w:p w14:paraId="51AE8257">
            <w:pPr>
              <w:spacing w:line="380" w:lineRule="exact"/>
              <w:jc w:val="center"/>
              <w:rPr>
                <w:rFonts w:ascii="宋体" w:hAnsi="宋体"/>
                <w:bCs/>
                <w:color w:val="auto"/>
                <w:sz w:val="22"/>
                <w:szCs w:val="22"/>
                <w:highlight w:val="none"/>
              </w:rPr>
            </w:pPr>
          </w:p>
        </w:tc>
        <w:tc>
          <w:tcPr>
            <w:tcW w:w="444" w:type="pct"/>
            <w:vAlign w:val="center"/>
          </w:tcPr>
          <w:p w14:paraId="6D9778CD">
            <w:pPr>
              <w:spacing w:line="380" w:lineRule="exact"/>
              <w:jc w:val="center"/>
              <w:rPr>
                <w:rFonts w:ascii="宋体" w:hAnsi="宋体"/>
                <w:bCs/>
                <w:color w:val="auto"/>
                <w:sz w:val="22"/>
                <w:szCs w:val="22"/>
                <w:highlight w:val="none"/>
              </w:rPr>
            </w:pPr>
          </w:p>
        </w:tc>
        <w:tc>
          <w:tcPr>
            <w:tcW w:w="505" w:type="pct"/>
            <w:vAlign w:val="center"/>
          </w:tcPr>
          <w:p w14:paraId="7C754395">
            <w:pPr>
              <w:spacing w:line="380" w:lineRule="exact"/>
              <w:jc w:val="center"/>
              <w:rPr>
                <w:rFonts w:ascii="宋体" w:hAnsi="宋体"/>
                <w:bCs/>
                <w:color w:val="auto"/>
                <w:sz w:val="22"/>
                <w:szCs w:val="22"/>
                <w:highlight w:val="none"/>
              </w:rPr>
            </w:pPr>
          </w:p>
        </w:tc>
        <w:tc>
          <w:tcPr>
            <w:tcW w:w="426" w:type="pct"/>
            <w:vAlign w:val="center"/>
          </w:tcPr>
          <w:p w14:paraId="0A8EB17B">
            <w:pPr>
              <w:spacing w:line="380" w:lineRule="exact"/>
              <w:jc w:val="center"/>
              <w:rPr>
                <w:rFonts w:ascii="宋体" w:hAnsi="宋体"/>
                <w:bCs/>
                <w:color w:val="auto"/>
                <w:sz w:val="22"/>
                <w:szCs w:val="22"/>
                <w:highlight w:val="none"/>
              </w:rPr>
            </w:pPr>
          </w:p>
        </w:tc>
      </w:tr>
      <w:tr w14:paraId="6E8A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3F41900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3</w:t>
            </w:r>
          </w:p>
        </w:tc>
        <w:tc>
          <w:tcPr>
            <w:tcW w:w="1379" w:type="pct"/>
          </w:tcPr>
          <w:p w14:paraId="5DE0B685">
            <w:pPr>
              <w:spacing w:line="400" w:lineRule="exact"/>
              <w:rPr>
                <w:rFonts w:ascii="宋体" w:hAnsi="宋体"/>
                <w:color w:val="auto"/>
                <w:sz w:val="22"/>
                <w:szCs w:val="22"/>
                <w:highlight w:val="none"/>
              </w:rPr>
            </w:pPr>
            <w:r>
              <w:rPr>
                <w:rFonts w:hint="eastAsia" w:ascii="宋体" w:hAnsi="宋体"/>
                <w:color w:val="auto"/>
                <w:sz w:val="22"/>
                <w:szCs w:val="22"/>
                <w:highlight w:val="none"/>
              </w:rPr>
              <w:t>配套</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及材料(含税) （如有，逐项列出）</w:t>
            </w:r>
          </w:p>
        </w:tc>
        <w:tc>
          <w:tcPr>
            <w:tcW w:w="2868" w:type="pct"/>
            <w:gridSpan w:val="6"/>
            <w:vAlign w:val="center"/>
          </w:tcPr>
          <w:p w14:paraId="01C4CD2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562CBC9">
            <w:pPr>
              <w:spacing w:line="380" w:lineRule="exact"/>
              <w:jc w:val="center"/>
              <w:rPr>
                <w:rFonts w:ascii="宋体" w:hAnsi="宋体"/>
                <w:bCs/>
                <w:color w:val="auto"/>
                <w:sz w:val="22"/>
                <w:szCs w:val="22"/>
                <w:highlight w:val="none"/>
              </w:rPr>
            </w:pPr>
          </w:p>
        </w:tc>
      </w:tr>
      <w:tr w14:paraId="7215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41664D57">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4</w:t>
            </w:r>
          </w:p>
        </w:tc>
        <w:tc>
          <w:tcPr>
            <w:tcW w:w="1379" w:type="pct"/>
          </w:tcPr>
          <w:p w14:paraId="24CBF46E">
            <w:pPr>
              <w:spacing w:line="400" w:lineRule="exact"/>
              <w:rPr>
                <w:rFonts w:ascii="宋体" w:hAnsi="宋体"/>
                <w:color w:val="auto"/>
                <w:sz w:val="22"/>
                <w:szCs w:val="22"/>
                <w:highlight w:val="none"/>
              </w:rPr>
            </w:pPr>
            <w:r>
              <w:rPr>
                <w:rFonts w:hint="eastAsia" w:ascii="宋体" w:hAnsi="宋体"/>
                <w:color w:val="auto"/>
                <w:sz w:val="22"/>
                <w:szCs w:val="22"/>
                <w:highlight w:val="none"/>
              </w:rPr>
              <w:t>随机易损、易耗备品备件、专用工具（如有）</w:t>
            </w:r>
          </w:p>
        </w:tc>
        <w:tc>
          <w:tcPr>
            <w:tcW w:w="2868" w:type="pct"/>
            <w:gridSpan w:val="6"/>
            <w:vAlign w:val="center"/>
          </w:tcPr>
          <w:p w14:paraId="389D7BC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920EED5">
            <w:pPr>
              <w:spacing w:line="380" w:lineRule="exact"/>
              <w:jc w:val="center"/>
              <w:rPr>
                <w:rFonts w:ascii="宋体" w:hAnsi="宋体"/>
                <w:bCs/>
                <w:color w:val="auto"/>
                <w:sz w:val="22"/>
                <w:szCs w:val="22"/>
                <w:highlight w:val="none"/>
              </w:rPr>
            </w:pPr>
          </w:p>
        </w:tc>
      </w:tr>
      <w:tr w14:paraId="24D0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18E4A15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5</w:t>
            </w:r>
          </w:p>
        </w:tc>
        <w:tc>
          <w:tcPr>
            <w:tcW w:w="1379" w:type="pct"/>
          </w:tcPr>
          <w:p w14:paraId="1876B763">
            <w:pPr>
              <w:spacing w:line="400" w:lineRule="exact"/>
              <w:rPr>
                <w:rFonts w:ascii="宋体" w:hAnsi="宋体"/>
                <w:color w:val="auto"/>
                <w:sz w:val="22"/>
                <w:szCs w:val="22"/>
                <w:highlight w:val="none"/>
              </w:rPr>
            </w:pPr>
            <w:r>
              <w:rPr>
                <w:rFonts w:hint="eastAsia" w:ascii="宋体" w:hAnsi="宋体"/>
                <w:color w:val="auto"/>
                <w:sz w:val="22"/>
                <w:szCs w:val="22"/>
                <w:highlight w:val="none"/>
              </w:rPr>
              <w:t>安装、调试、验收费（含第三方验收费）</w:t>
            </w:r>
          </w:p>
        </w:tc>
        <w:tc>
          <w:tcPr>
            <w:tcW w:w="2868" w:type="pct"/>
            <w:gridSpan w:val="6"/>
            <w:vAlign w:val="center"/>
          </w:tcPr>
          <w:p w14:paraId="4195AEB0">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315FC9FF">
            <w:pPr>
              <w:spacing w:line="380" w:lineRule="exact"/>
              <w:jc w:val="center"/>
              <w:rPr>
                <w:rFonts w:ascii="宋体" w:hAnsi="宋体"/>
                <w:bCs/>
                <w:color w:val="auto"/>
                <w:sz w:val="22"/>
                <w:szCs w:val="22"/>
                <w:highlight w:val="none"/>
              </w:rPr>
            </w:pPr>
          </w:p>
        </w:tc>
      </w:tr>
      <w:tr w14:paraId="4C0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08E22DB5">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6</w:t>
            </w:r>
          </w:p>
        </w:tc>
        <w:tc>
          <w:tcPr>
            <w:tcW w:w="1379" w:type="pct"/>
          </w:tcPr>
          <w:p w14:paraId="23E06394">
            <w:pPr>
              <w:spacing w:line="400" w:lineRule="exact"/>
              <w:rPr>
                <w:rFonts w:ascii="宋体" w:hAnsi="宋体"/>
                <w:color w:val="auto"/>
                <w:sz w:val="22"/>
                <w:szCs w:val="22"/>
                <w:highlight w:val="none"/>
              </w:rPr>
            </w:pPr>
            <w:r>
              <w:rPr>
                <w:rFonts w:hint="eastAsia" w:ascii="宋体" w:hAnsi="宋体"/>
                <w:color w:val="auto"/>
                <w:sz w:val="22"/>
                <w:szCs w:val="22"/>
                <w:highlight w:val="none"/>
              </w:rPr>
              <w:t>人员培训费、技术服务费（如有）</w:t>
            </w:r>
          </w:p>
        </w:tc>
        <w:tc>
          <w:tcPr>
            <w:tcW w:w="2868" w:type="pct"/>
            <w:gridSpan w:val="6"/>
            <w:vAlign w:val="center"/>
          </w:tcPr>
          <w:p w14:paraId="7BE9B2E3">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C5A8639">
            <w:pPr>
              <w:spacing w:line="380" w:lineRule="exact"/>
              <w:jc w:val="center"/>
              <w:rPr>
                <w:rFonts w:ascii="宋体" w:hAnsi="宋体"/>
                <w:bCs/>
                <w:color w:val="auto"/>
                <w:sz w:val="22"/>
                <w:szCs w:val="22"/>
                <w:highlight w:val="none"/>
              </w:rPr>
            </w:pPr>
          </w:p>
        </w:tc>
      </w:tr>
      <w:tr w14:paraId="554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69824AA9">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7</w:t>
            </w:r>
          </w:p>
        </w:tc>
        <w:tc>
          <w:tcPr>
            <w:tcW w:w="1379" w:type="pct"/>
          </w:tcPr>
          <w:p w14:paraId="0DE299A7">
            <w:pPr>
              <w:spacing w:line="400" w:lineRule="exact"/>
              <w:rPr>
                <w:rFonts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868" w:type="pct"/>
            <w:gridSpan w:val="6"/>
            <w:vAlign w:val="center"/>
          </w:tcPr>
          <w:p w14:paraId="2A3DD91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98ACC7E">
            <w:pPr>
              <w:spacing w:line="380" w:lineRule="exact"/>
              <w:jc w:val="center"/>
              <w:rPr>
                <w:rFonts w:ascii="宋体" w:hAnsi="宋体"/>
                <w:bCs/>
                <w:color w:val="auto"/>
                <w:sz w:val="22"/>
                <w:szCs w:val="22"/>
                <w:highlight w:val="none"/>
              </w:rPr>
            </w:pPr>
          </w:p>
        </w:tc>
      </w:tr>
      <w:tr w14:paraId="10C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30422CB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8</w:t>
            </w:r>
          </w:p>
        </w:tc>
        <w:tc>
          <w:tcPr>
            <w:tcW w:w="1379" w:type="pct"/>
            <w:vAlign w:val="center"/>
          </w:tcPr>
          <w:p w14:paraId="05BB43FE">
            <w:pPr>
              <w:spacing w:line="400" w:lineRule="exact"/>
              <w:rPr>
                <w:rFonts w:ascii="宋体" w:hAnsi="宋体"/>
                <w:color w:val="auto"/>
                <w:sz w:val="22"/>
                <w:szCs w:val="22"/>
                <w:highlight w:val="none"/>
              </w:rPr>
            </w:pPr>
            <w:r>
              <w:rPr>
                <w:rFonts w:hint="eastAsia" w:ascii="宋体" w:hAnsi="宋体"/>
                <w:color w:val="auto"/>
                <w:sz w:val="22"/>
                <w:szCs w:val="22"/>
                <w:highlight w:val="none"/>
              </w:rPr>
              <w:t>售后服务</w:t>
            </w:r>
          </w:p>
        </w:tc>
        <w:tc>
          <w:tcPr>
            <w:tcW w:w="2868" w:type="pct"/>
            <w:gridSpan w:val="6"/>
            <w:vAlign w:val="center"/>
          </w:tcPr>
          <w:p w14:paraId="350558A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230688D">
            <w:pPr>
              <w:spacing w:line="380" w:lineRule="exact"/>
              <w:jc w:val="center"/>
              <w:rPr>
                <w:rFonts w:ascii="宋体" w:hAnsi="宋体"/>
                <w:bCs/>
                <w:color w:val="auto"/>
                <w:sz w:val="22"/>
                <w:szCs w:val="22"/>
                <w:highlight w:val="none"/>
              </w:rPr>
            </w:pPr>
          </w:p>
        </w:tc>
      </w:tr>
      <w:tr w14:paraId="2F8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54BFEBD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9</w:t>
            </w:r>
          </w:p>
        </w:tc>
        <w:tc>
          <w:tcPr>
            <w:tcW w:w="1379" w:type="pct"/>
          </w:tcPr>
          <w:p w14:paraId="66B55A38">
            <w:pPr>
              <w:spacing w:line="400" w:lineRule="exact"/>
              <w:rPr>
                <w:rFonts w:ascii="宋体" w:hAnsi="宋体"/>
                <w:color w:val="auto"/>
                <w:sz w:val="22"/>
                <w:szCs w:val="22"/>
                <w:highlight w:val="none"/>
              </w:rPr>
            </w:pPr>
            <w:r>
              <w:rPr>
                <w:rFonts w:hint="eastAsia" w:ascii="宋体" w:hAnsi="宋体"/>
                <w:color w:val="auto"/>
                <w:sz w:val="22"/>
                <w:szCs w:val="22"/>
                <w:highlight w:val="none"/>
              </w:rPr>
              <w:t>采购代理服务费</w:t>
            </w:r>
          </w:p>
        </w:tc>
        <w:tc>
          <w:tcPr>
            <w:tcW w:w="2868" w:type="pct"/>
            <w:gridSpan w:val="6"/>
            <w:vAlign w:val="center"/>
          </w:tcPr>
          <w:p w14:paraId="38678070">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79016578">
            <w:pPr>
              <w:spacing w:line="380" w:lineRule="exact"/>
              <w:jc w:val="center"/>
              <w:rPr>
                <w:rFonts w:ascii="宋体" w:hAnsi="宋体"/>
                <w:bCs/>
                <w:color w:val="auto"/>
                <w:sz w:val="22"/>
                <w:szCs w:val="22"/>
                <w:highlight w:val="none"/>
              </w:rPr>
            </w:pPr>
          </w:p>
        </w:tc>
      </w:tr>
      <w:tr w14:paraId="1BA5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258776F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10</w:t>
            </w:r>
          </w:p>
        </w:tc>
        <w:tc>
          <w:tcPr>
            <w:tcW w:w="1379" w:type="pct"/>
          </w:tcPr>
          <w:p w14:paraId="0B4F0479">
            <w:pPr>
              <w:spacing w:line="400" w:lineRule="exact"/>
              <w:rPr>
                <w:rFonts w:ascii="宋体" w:hAnsi="宋体"/>
                <w:color w:val="auto"/>
                <w:sz w:val="22"/>
                <w:szCs w:val="22"/>
                <w:highlight w:val="none"/>
              </w:rPr>
            </w:pPr>
            <w:r>
              <w:rPr>
                <w:rFonts w:hint="eastAsia" w:ascii="宋体" w:hAnsi="宋体"/>
                <w:color w:val="auto"/>
                <w:sz w:val="22"/>
                <w:szCs w:val="22"/>
                <w:highlight w:val="none"/>
              </w:rPr>
              <w:t>其他</w:t>
            </w:r>
          </w:p>
        </w:tc>
        <w:tc>
          <w:tcPr>
            <w:tcW w:w="2868" w:type="pct"/>
            <w:gridSpan w:val="6"/>
            <w:vAlign w:val="center"/>
          </w:tcPr>
          <w:p w14:paraId="10C2772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878F273">
            <w:pPr>
              <w:spacing w:line="380" w:lineRule="exact"/>
              <w:jc w:val="center"/>
              <w:rPr>
                <w:rFonts w:ascii="宋体" w:hAnsi="宋体"/>
                <w:bCs/>
                <w:color w:val="auto"/>
                <w:sz w:val="22"/>
                <w:szCs w:val="22"/>
                <w:highlight w:val="none"/>
              </w:rPr>
            </w:pPr>
          </w:p>
        </w:tc>
      </w:tr>
      <w:tr w14:paraId="4AFF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704" w:type="pct"/>
            <w:gridSpan w:val="2"/>
            <w:vAlign w:val="center"/>
          </w:tcPr>
          <w:p w14:paraId="3AC0E7D7">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总   计   价</w:t>
            </w:r>
          </w:p>
        </w:tc>
        <w:tc>
          <w:tcPr>
            <w:tcW w:w="3295" w:type="pct"/>
            <w:gridSpan w:val="7"/>
            <w:vAlign w:val="center"/>
          </w:tcPr>
          <w:p w14:paraId="1D588A9E">
            <w:pPr>
              <w:spacing w:line="380" w:lineRule="exact"/>
              <w:jc w:val="center"/>
              <w:rPr>
                <w:rFonts w:ascii="宋体" w:hAnsi="宋体"/>
                <w:bCs/>
                <w:color w:val="auto"/>
                <w:sz w:val="22"/>
                <w:szCs w:val="22"/>
                <w:highlight w:val="none"/>
              </w:rPr>
            </w:pPr>
          </w:p>
        </w:tc>
      </w:tr>
    </w:tbl>
    <w:p w14:paraId="6B3D9DDE">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2B2C3176">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21B364B2">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6B815B75">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4"/>
        <w:spacing w:line="240" w:lineRule="auto"/>
        <w:rPr>
          <w:rFonts w:ascii="宋体" w:hAnsi="宋体" w:cs="宋体"/>
          <w:color w:val="auto"/>
          <w:sz w:val="24"/>
          <w:highlight w:val="none"/>
        </w:rPr>
      </w:pPr>
      <w:bookmarkStart w:id="73" w:name="_Toc13173"/>
      <w:r>
        <w:rPr>
          <w:rFonts w:hint="eastAsia" w:ascii="宋体" w:hAnsi="宋体" w:eastAsia="宋体"/>
          <w:color w:val="auto"/>
          <w:sz w:val="24"/>
          <w:szCs w:val="24"/>
          <w:highlight w:val="none"/>
        </w:rPr>
        <w:t xml:space="preserve">附件四 </w:t>
      </w:r>
      <w:bookmarkEnd w:id="64"/>
      <w:bookmarkEnd w:id="65"/>
      <w:bookmarkEnd w:id="66"/>
      <w:bookmarkEnd w:id="67"/>
      <w:bookmarkEnd w:id="69"/>
      <w:r>
        <w:rPr>
          <w:rFonts w:hint="eastAsia" w:ascii="宋体" w:hAnsi="宋体" w:eastAsia="宋体"/>
          <w:color w:val="auto"/>
          <w:sz w:val="24"/>
          <w:szCs w:val="24"/>
          <w:highlight w:val="none"/>
        </w:rPr>
        <w:t>资格证明文件</w:t>
      </w:r>
      <w:bookmarkEnd w:id="68"/>
      <w:bookmarkEnd w:id="73"/>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38"/>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18475BD4">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7"/>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7"/>
        <w:rPr>
          <w:rFonts w:ascii="宋体" w:hAnsi="宋体"/>
          <w:color w:val="auto"/>
          <w:sz w:val="22"/>
          <w:szCs w:val="22"/>
          <w:highlight w:val="none"/>
        </w:rPr>
      </w:pPr>
    </w:p>
    <w:p w14:paraId="6E300DAB">
      <w:pPr>
        <w:pStyle w:val="91"/>
        <w:rPr>
          <w:rFonts w:hAnsi="宋体"/>
          <w:color w:val="auto"/>
          <w:sz w:val="22"/>
          <w:szCs w:val="22"/>
          <w:highlight w:val="none"/>
        </w:rPr>
      </w:pPr>
    </w:p>
    <w:p w14:paraId="4839AB20">
      <w:pPr>
        <w:rPr>
          <w:rFonts w:ascii="宋体" w:hAnsi="宋体"/>
          <w:color w:val="auto"/>
          <w:sz w:val="22"/>
          <w:szCs w:val="22"/>
          <w:highlight w:val="none"/>
        </w:rPr>
      </w:pPr>
    </w:p>
    <w:p w14:paraId="5154F1DD">
      <w:pPr>
        <w:pStyle w:val="17"/>
        <w:rPr>
          <w:rFonts w:ascii="宋体" w:hAnsi="宋体"/>
          <w:color w:val="auto"/>
          <w:sz w:val="22"/>
          <w:szCs w:val="22"/>
          <w:highlight w:val="none"/>
        </w:rPr>
      </w:pPr>
    </w:p>
    <w:p w14:paraId="39D79433">
      <w:pPr>
        <w:pStyle w:val="91"/>
        <w:rPr>
          <w:rFonts w:hAnsi="宋体"/>
          <w:color w:val="auto"/>
          <w:sz w:val="22"/>
          <w:szCs w:val="22"/>
          <w:highlight w:val="none"/>
        </w:rPr>
      </w:pPr>
    </w:p>
    <w:p w14:paraId="68CB1BD1">
      <w:pPr>
        <w:rPr>
          <w:rFonts w:ascii="宋体" w:hAnsi="宋体"/>
          <w:color w:val="auto"/>
          <w:sz w:val="22"/>
          <w:szCs w:val="22"/>
          <w:highlight w:val="none"/>
        </w:rPr>
      </w:pPr>
    </w:p>
    <w:p w14:paraId="2AAE0D8A">
      <w:pPr>
        <w:pStyle w:val="17"/>
        <w:rPr>
          <w:rFonts w:ascii="宋体" w:hAnsi="宋体"/>
          <w:color w:val="auto"/>
          <w:sz w:val="22"/>
          <w:szCs w:val="22"/>
          <w:highlight w:val="none"/>
        </w:rPr>
      </w:pPr>
    </w:p>
    <w:p w14:paraId="5B3BC670">
      <w:pPr>
        <w:pStyle w:val="91"/>
        <w:rPr>
          <w:color w:val="auto"/>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4"/>
        <w:spacing w:line="240" w:lineRule="auto"/>
        <w:rPr>
          <w:rFonts w:ascii="宋体" w:hAnsi="宋体" w:eastAsia="宋体" w:cs="宋体"/>
          <w:color w:val="auto"/>
          <w:sz w:val="24"/>
          <w:szCs w:val="24"/>
          <w:highlight w:val="none"/>
        </w:rPr>
      </w:pPr>
      <w:bookmarkStart w:id="74" w:name="_Toc230773787"/>
      <w:bookmarkStart w:id="75" w:name="_Toc184281694"/>
      <w:bookmarkStart w:id="76" w:name="_Toc218392091"/>
      <w:bookmarkStart w:id="77" w:name="_Toc19238"/>
      <w:bookmarkStart w:id="78" w:name="_Toc184281693"/>
      <w:r>
        <w:rPr>
          <w:rFonts w:hint="eastAsia" w:ascii="宋体" w:hAnsi="宋体" w:eastAsia="宋体" w:cs="宋体"/>
          <w:color w:val="auto"/>
          <w:sz w:val="24"/>
          <w:szCs w:val="24"/>
          <w:highlight w:val="none"/>
        </w:rPr>
        <w:t>附件</w:t>
      </w:r>
      <w:bookmarkEnd w:id="74"/>
      <w:bookmarkEnd w:id="75"/>
      <w:bookmarkEnd w:id="76"/>
      <w:r>
        <w:rPr>
          <w:rFonts w:hint="eastAsia" w:ascii="宋体" w:hAnsi="宋体" w:eastAsia="宋体" w:cs="宋体"/>
          <w:color w:val="auto"/>
          <w:sz w:val="24"/>
          <w:szCs w:val="24"/>
          <w:highlight w:val="none"/>
        </w:rPr>
        <w:t>五 商务条款、技术规格偏离表</w:t>
      </w:r>
      <w:bookmarkEnd w:id="77"/>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5"/>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7"/>
        <w:rPr>
          <w:color w:val="auto"/>
          <w:highlight w:val="none"/>
        </w:rPr>
      </w:pPr>
    </w:p>
    <w:p w14:paraId="256C51B5">
      <w:pPr>
        <w:pStyle w:val="4"/>
        <w:spacing w:line="240" w:lineRule="auto"/>
        <w:rPr>
          <w:rFonts w:ascii="宋体" w:hAnsi="宋体" w:eastAsia="宋体" w:cs="宋体"/>
          <w:color w:val="auto"/>
          <w:sz w:val="24"/>
          <w:szCs w:val="24"/>
          <w:highlight w:val="none"/>
        </w:rPr>
      </w:pPr>
      <w:bookmarkStart w:id="79" w:name="_Toc18115"/>
      <w:bookmarkStart w:id="80" w:name="_Toc10680"/>
      <w:r>
        <w:rPr>
          <w:rFonts w:hint="eastAsia" w:ascii="宋体" w:hAnsi="宋体" w:eastAsia="宋体" w:cs="宋体"/>
          <w:color w:val="auto"/>
          <w:sz w:val="24"/>
          <w:szCs w:val="24"/>
          <w:highlight w:val="none"/>
        </w:rPr>
        <w:t xml:space="preserve">附件六 </w:t>
      </w:r>
      <w:r>
        <w:rPr>
          <w:rFonts w:hint="eastAsia" w:ascii="宋体" w:hAnsi="宋体" w:eastAsia="宋体"/>
          <w:color w:val="auto"/>
          <w:sz w:val="24"/>
          <w:szCs w:val="24"/>
          <w:highlight w:val="none"/>
        </w:rPr>
        <w:t>货物成套供货清单</w:t>
      </w:r>
      <w:bookmarkEnd w:id="79"/>
      <w:bookmarkEnd w:id="80"/>
    </w:p>
    <w:p w14:paraId="709A33B6">
      <w:pPr>
        <w:numPr>
          <w:ilvl w:val="0"/>
          <w:numId w:val="2"/>
        </w:num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货物成套供货清单（或详细配置清单）</w:t>
      </w:r>
    </w:p>
    <w:p w14:paraId="7E7BAF50">
      <w:pPr>
        <w:spacing w:line="440" w:lineRule="exact"/>
        <w:rPr>
          <w:rFonts w:hint="eastAsia"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1401"/>
        <w:gridCol w:w="1056"/>
        <w:gridCol w:w="1455"/>
        <w:gridCol w:w="1634"/>
      </w:tblGrid>
      <w:tr w14:paraId="320E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noWrap w:val="0"/>
            <w:vAlign w:val="center"/>
          </w:tcPr>
          <w:p w14:paraId="2A02F443">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序号</w:t>
            </w:r>
          </w:p>
        </w:tc>
        <w:tc>
          <w:tcPr>
            <w:tcW w:w="1260" w:type="dxa"/>
            <w:shd w:val="clear" w:color="auto" w:fill="D9D9D9"/>
            <w:noWrap w:val="0"/>
            <w:vAlign w:val="center"/>
          </w:tcPr>
          <w:p w14:paraId="54185C7A">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设备名称/规格型号（与注册证一致）</w:t>
            </w:r>
          </w:p>
        </w:tc>
        <w:tc>
          <w:tcPr>
            <w:tcW w:w="1980" w:type="dxa"/>
            <w:shd w:val="clear" w:color="auto" w:fill="D9D9D9"/>
            <w:noWrap w:val="0"/>
            <w:vAlign w:val="center"/>
          </w:tcPr>
          <w:p w14:paraId="0B1215CB">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货物注册证名称</w:t>
            </w:r>
          </w:p>
        </w:tc>
        <w:tc>
          <w:tcPr>
            <w:tcW w:w="1401" w:type="dxa"/>
            <w:shd w:val="clear" w:color="auto" w:fill="D9D9D9"/>
            <w:noWrap w:val="0"/>
            <w:vAlign w:val="center"/>
          </w:tcPr>
          <w:p w14:paraId="406AC213">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规格及技术参数</w:t>
            </w:r>
          </w:p>
        </w:tc>
        <w:tc>
          <w:tcPr>
            <w:tcW w:w="1056" w:type="dxa"/>
            <w:shd w:val="clear" w:color="auto" w:fill="D9D9D9"/>
            <w:noWrap w:val="0"/>
            <w:vAlign w:val="center"/>
          </w:tcPr>
          <w:p w14:paraId="5103793E">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数量</w:t>
            </w:r>
          </w:p>
        </w:tc>
        <w:tc>
          <w:tcPr>
            <w:tcW w:w="1455" w:type="dxa"/>
            <w:shd w:val="clear" w:color="auto" w:fill="D9D9D9"/>
            <w:noWrap w:val="0"/>
            <w:vAlign w:val="center"/>
          </w:tcPr>
          <w:p w14:paraId="70A71B2E">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w:t>
            </w:r>
          </w:p>
          <w:p w14:paraId="064CDF3F">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（生产厂家/品牌）</w:t>
            </w:r>
          </w:p>
        </w:tc>
        <w:tc>
          <w:tcPr>
            <w:tcW w:w="1634" w:type="dxa"/>
            <w:shd w:val="clear" w:color="auto" w:fill="D9D9D9"/>
            <w:noWrap w:val="0"/>
            <w:vAlign w:val="center"/>
          </w:tcPr>
          <w:p w14:paraId="5842E677">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质保期</w:t>
            </w:r>
          </w:p>
        </w:tc>
      </w:tr>
      <w:tr w14:paraId="440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EA512F3">
            <w:pPr>
              <w:spacing w:line="380" w:lineRule="exact"/>
              <w:jc w:val="center"/>
              <w:rPr>
                <w:rFonts w:hint="eastAsia" w:ascii="宋体" w:hAnsi="宋体"/>
                <w:b/>
                <w:bCs/>
                <w:color w:val="auto"/>
                <w:sz w:val="22"/>
                <w:szCs w:val="22"/>
                <w:highlight w:val="none"/>
              </w:rPr>
            </w:pPr>
          </w:p>
        </w:tc>
        <w:tc>
          <w:tcPr>
            <w:tcW w:w="1260" w:type="dxa"/>
            <w:noWrap w:val="0"/>
            <w:vAlign w:val="center"/>
          </w:tcPr>
          <w:p w14:paraId="2BB3A830">
            <w:pPr>
              <w:spacing w:line="380" w:lineRule="exact"/>
              <w:jc w:val="center"/>
              <w:rPr>
                <w:rFonts w:hint="eastAsia" w:ascii="宋体" w:hAnsi="宋体"/>
                <w:b/>
                <w:bCs/>
                <w:color w:val="auto"/>
                <w:sz w:val="22"/>
                <w:szCs w:val="22"/>
                <w:highlight w:val="none"/>
              </w:rPr>
            </w:pPr>
          </w:p>
        </w:tc>
        <w:tc>
          <w:tcPr>
            <w:tcW w:w="1980" w:type="dxa"/>
            <w:noWrap w:val="0"/>
            <w:vAlign w:val="center"/>
          </w:tcPr>
          <w:p w14:paraId="18F65DB2">
            <w:pPr>
              <w:spacing w:line="380" w:lineRule="exact"/>
              <w:jc w:val="center"/>
              <w:rPr>
                <w:rFonts w:hint="eastAsia" w:ascii="宋体" w:hAnsi="宋体"/>
                <w:b/>
                <w:bCs/>
                <w:color w:val="auto"/>
                <w:sz w:val="22"/>
                <w:szCs w:val="22"/>
                <w:highlight w:val="none"/>
              </w:rPr>
            </w:pPr>
          </w:p>
        </w:tc>
        <w:tc>
          <w:tcPr>
            <w:tcW w:w="1401" w:type="dxa"/>
            <w:noWrap w:val="0"/>
            <w:vAlign w:val="center"/>
          </w:tcPr>
          <w:p w14:paraId="5E97BE67">
            <w:pPr>
              <w:spacing w:line="380" w:lineRule="exact"/>
              <w:jc w:val="center"/>
              <w:rPr>
                <w:rFonts w:hint="eastAsia" w:ascii="宋体" w:hAnsi="宋体"/>
                <w:b/>
                <w:bCs/>
                <w:color w:val="auto"/>
                <w:sz w:val="22"/>
                <w:szCs w:val="22"/>
                <w:highlight w:val="none"/>
              </w:rPr>
            </w:pPr>
          </w:p>
        </w:tc>
        <w:tc>
          <w:tcPr>
            <w:tcW w:w="1056" w:type="dxa"/>
            <w:noWrap w:val="0"/>
            <w:vAlign w:val="center"/>
          </w:tcPr>
          <w:p w14:paraId="397D6E48">
            <w:pPr>
              <w:spacing w:line="380" w:lineRule="exact"/>
              <w:jc w:val="center"/>
              <w:rPr>
                <w:rFonts w:hint="eastAsia" w:ascii="宋体" w:hAnsi="宋体"/>
                <w:b/>
                <w:bCs/>
                <w:color w:val="auto"/>
                <w:sz w:val="22"/>
                <w:szCs w:val="22"/>
                <w:highlight w:val="none"/>
              </w:rPr>
            </w:pPr>
          </w:p>
        </w:tc>
        <w:tc>
          <w:tcPr>
            <w:tcW w:w="1455" w:type="dxa"/>
            <w:noWrap w:val="0"/>
            <w:vAlign w:val="center"/>
          </w:tcPr>
          <w:p w14:paraId="17F863F9">
            <w:pPr>
              <w:spacing w:line="380" w:lineRule="exact"/>
              <w:jc w:val="center"/>
              <w:rPr>
                <w:rFonts w:hint="eastAsia" w:ascii="宋体" w:hAnsi="宋体"/>
                <w:b/>
                <w:bCs/>
                <w:color w:val="auto"/>
                <w:sz w:val="22"/>
                <w:szCs w:val="22"/>
                <w:highlight w:val="none"/>
              </w:rPr>
            </w:pPr>
          </w:p>
        </w:tc>
        <w:tc>
          <w:tcPr>
            <w:tcW w:w="1634" w:type="dxa"/>
            <w:noWrap w:val="0"/>
            <w:vAlign w:val="center"/>
          </w:tcPr>
          <w:p w14:paraId="2DEA3166">
            <w:pPr>
              <w:spacing w:line="380" w:lineRule="exact"/>
              <w:jc w:val="center"/>
              <w:rPr>
                <w:rFonts w:hint="eastAsia" w:ascii="宋体" w:hAnsi="宋体"/>
                <w:b/>
                <w:bCs/>
                <w:color w:val="auto"/>
                <w:sz w:val="22"/>
                <w:szCs w:val="22"/>
                <w:highlight w:val="none"/>
              </w:rPr>
            </w:pPr>
          </w:p>
        </w:tc>
      </w:tr>
      <w:tr w14:paraId="6F03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2614F2A">
            <w:pPr>
              <w:spacing w:line="380" w:lineRule="exact"/>
              <w:jc w:val="center"/>
              <w:rPr>
                <w:rFonts w:hint="eastAsia" w:ascii="宋体" w:hAnsi="宋体"/>
                <w:b/>
                <w:bCs/>
                <w:color w:val="auto"/>
                <w:sz w:val="22"/>
                <w:szCs w:val="22"/>
                <w:highlight w:val="none"/>
              </w:rPr>
            </w:pPr>
          </w:p>
        </w:tc>
        <w:tc>
          <w:tcPr>
            <w:tcW w:w="1260" w:type="dxa"/>
            <w:noWrap w:val="0"/>
            <w:vAlign w:val="center"/>
          </w:tcPr>
          <w:p w14:paraId="07460663">
            <w:pPr>
              <w:spacing w:line="380" w:lineRule="exact"/>
              <w:jc w:val="center"/>
              <w:rPr>
                <w:rFonts w:hint="eastAsia" w:ascii="宋体" w:hAnsi="宋体"/>
                <w:b/>
                <w:bCs/>
                <w:color w:val="auto"/>
                <w:sz w:val="22"/>
                <w:szCs w:val="22"/>
                <w:highlight w:val="none"/>
              </w:rPr>
            </w:pPr>
          </w:p>
        </w:tc>
        <w:tc>
          <w:tcPr>
            <w:tcW w:w="1980" w:type="dxa"/>
            <w:noWrap w:val="0"/>
            <w:vAlign w:val="center"/>
          </w:tcPr>
          <w:p w14:paraId="6B08D92B">
            <w:pPr>
              <w:spacing w:line="380" w:lineRule="exact"/>
              <w:jc w:val="center"/>
              <w:rPr>
                <w:rFonts w:hint="eastAsia" w:ascii="宋体" w:hAnsi="宋体"/>
                <w:b/>
                <w:bCs/>
                <w:color w:val="auto"/>
                <w:sz w:val="22"/>
                <w:szCs w:val="22"/>
                <w:highlight w:val="none"/>
              </w:rPr>
            </w:pPr>
          </w:p>
        </w:tc>
        <w:tc>
          <w:tcPr>
            <w:tcW w:w="1401" w:type="dxa"/>
            <w:noWrap w:val="0"/>
            <w:vAlign w:val="center"/>
          </w:tcPr>
          <w:p w14:paraId="6A479C40">
            <w:pPr>
              <w:spacing w:line="380" w:lineRule="exact"/>
              <w:jc w:val="center"/>
              <w:rPr>
                <w:rFonts w:hint="eastAsia" w:ascii="宋体" w:hAnsi="宋体"/>
                <w:b/>
                <w:bCs/>
                <w:color w:val="auto"/>
                <w:sz w:val="22"/>
                <w:szCs w:val="22"/>
                <w:highlight w:val="none"/>
              </w:rPr>
            </w:pPr>
          </w:p>
        </w:tc>
        <w:tc>
          <w:tcPr>
            <w:tcW w:w="1056" w:type="dxa"/>
            <w:noWrap w:val="0"/>
            <w:vAlign w:val="center"/>
          </w:tcPr>
          <w:p w14:paraId="48F9ADBD">
            <w:pPr>
              <w:spacing w:line="380" w:lineRule="exact"/>
              <w:jc w:val="center"/>
              <w:rPr>
                <w:rFonts w:hint="eastAsia" w:ascii="宋体" w:hAnsi="宋体"/>
                <w:b/>
                <w:bCs/>
                <w:color w:val="auto"/>
                <w:sz w:val="22"/>
                <w:szCs w:val="22"/>
                <w:highlight w:val="none"/>
              </w:rPr>
            </w:pPr>
          </w:p>
        </w:tc>
        <w:tc>
          <w:tcPr>
            <w:tcW w:w="1455" w:type="dxa"/>
            <w:noWrap w:val="0"/>
            <w:vAlign w:val="center"/>
          </w:tcPr>
          <w:p w14:paraId="2E2E1586">
            <w:pPr>
              <w:spacing w:line="380" w:lineRule="exact"/>
              <w:jc w:val="center"/>
              <w:rPr>
                <w:rFonts w:hint="eastAsia" w:ascii="宋体" w:hAnsi="宋体"/>
                <w:b/>
                <w:bCs/>
                <w:color w:val="auto"/>
                <w:sz w:val="22"/>
                <w:szCs w:val="22"/>
                <w:highlight w:val="none"/>
              </w:rPr>
            </w:pPr>
          </w:p>
        </w:tc>
        <w:tc>
          <w:tcPr>
            <w:tcW w:w="1634" w:type="dxa"/>
            <w:noWrap w:val="0"/>
            <w:vAlign w:val="center"/>
          </w:tcPr>
          <w:p w14:paraId="673C9C85">
            <w:pPr>
              <w:spacing w:line="380" w:lineRule="exact"/>
              <w:jc w:val="center"/>
              <w:rPr>
                <w:rFonts w:hint="eastAsia" w:ascii="宋体" w:hAnsi="宋体"/>
                <w:b/>
                <w:bCs/>
                <w:color w:val="auto"/>
                <w:sz w:val="22"/>
                <w:szCs w:val="22"/>
                <w:highlight w:val="none"/>
              </w:rPr>
            </w:pPr>
          </w:p>
        </w:tc>
      </w:tr>
      <w:tr w14:paraId="09C7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0F9E774">
            <w:pPr>
              <w:spacing w:line="380" w:lineRule="exact"/>
              <w:jc w:val="center"/>
              <w:rPr>
                <w:rFonts w:hint="eastAsia" w:ascii="宋体" w:hAnsi="宋体"/>
                <w:b/>
                <w:bCs/>
                <w:color w:val="auto"/>
                <w:sz w:val="22"/>
                <w:szCs w:val="22"/>
                <w:highlight w:val="none"/>
              </w:rPr>
            </w:pPr>
          </w:p>
        </w:tc>
        <w:tc>
          <w:tcPr>
            <w:tcW w:w="1260" w:type="dxa"/>
            <w:noWrap w:val="0"/>
            <w:vAlign w:val="center"/>
          </w:tcPr>
          <w:p w14:paraId="63A088E0">
            <w:pPr>
              <w:spacing w:line="380" w:lineRule="exact"/>
              <w:jc w:val="center"/>
              <w:rPr>
                <w:rFonts w:hint="eastAsia" w:ascii="宋体" w:hAnsi="宋体"/>
                <w:b/>
                <w:bCs/>
                <w:color w:val="auto"/>
                <w:sz w:val="22"/>
                <w:szCs w:val="22"/>
                <w:highlight w:val="none"/>
              </w:rPr>
            </w:pPr>
          </w:p>
        </w:tc>
        <w:tc>
          <w:tcPr>
            <w:tcW w:w="1980" w:type="dxa"/>
            <w:noWrap w:val="0"/>
            <w:vAlign w:val="center"/>
          </w:tcPr>
          <w:p w14:paraId="0AA9ACA2">
            <w:pPr>
              <w:spacing w:line="380" w:lineRule="exact"/>
              <w:jc w:val="center"/>
              <w:rPr>
                <w:rFonts w:hint="eastAsia" w:ascii="宋体" w:hAnsi="宋体"/>
                <w:b/>
                <w:bCs/>
                <w:color w:val="auto"/>
                <w:sz w:val="22"/>
                <w:szCs w:val="22"/>
                <w:highlight w:val="none"/>
              </w:rPr>
            </w:pPr>
          </w:p>
        </w:tc>
        <w:tc>
          <w:tcPr>
            <w:tcW w:w="1401" w:type="dxa"/>
            <w:noWrap w:val="0"/>
            <w:vAlign w:val="center"/>
          </w:tcPr>
          <w:p w14:paraId="3A4EAFBF">
            <w:pPr>
              <w:spacing w:line="380" w:lineRule="exact"/>
              <w:jc w:val="center"/>
              <w:rPr>
                <w:rFonts w:hint="eastAsia" w:ascii="宋体" w:hAnsi="宋体"/>
                <w:b/>
                <w:bCs/>
                <w:color w:val="auto"/>
                <w:sz w:val="22"/>
                <w:szCs w:val="22"/>
                <w:highlight w:val="none"/>
              </w:rPr>
            </w:pPr>
          </w:p>
        </w:tc>
        <w:tc>
          <w:tcPr>
            <w:tcW w:w="1056" w:type="dxa"/>
            <w:noWrap w:val="0"/>
            <w:vAlign w:val="center"/>
          </w:tcPr>
          <w:p w14:paraId="4651E9F3">
            <w:pPr>
              <w:spacing w:line="380" w:lineRule="exact"/>
              <w:jc w:val="center"/>
              <w:rPr>
                <w:rFonts w:hint="eastAsia" w:ascii="宋体" w:hAnsi="宋体"/>
                <w:b/>
                <w:bCs/>
                <w:color w:val="auto"/>
                <w:sz w:val="22"/>
                <w:szCs w:val="22"/>
                <w:highlight w:val="none"/>
              </w:rPr>
            </w:pPr>
          </w:p>
        </w:tc>
        <w:tc>
          <w:tcPr>
            <w:tcW w:w="1455" w:type="dxa"/>
            <w:noWrap w:val="0"/>
            <w:vAlign w:val="center"/>
          </w:tcPr>
          <w:p w14:paraId="71E354EC">
            <w:pPr>
              <w:spacing w:line="380" w:lineRule="exact"/>
              <w:jc w:val="center"/>
              <w:rPr>
                <w:rFonts w:hint="eastAsia" w:ascii="宋体" w:hAnsi="宋体"/>
                <w:b/>
                <w:bCs/>
                <w:color w:val="auto"/>
                <w:sz w:val="22"/>
                <w:szCs w:val="22"/>
                <w:highlight w:val="none"/>
              </w:rPr>
            </w:pPr>
          </w:p>
        </w:tc>
        <w:tc>
          <w:tcPr>
            <w:tcW w:w="1634" w:type="dxa"/>
            <w:noWrap w:val="0"/>
            <w:vAlign w:val="center"/>
          </w:tcPr>
          <w:p w14:paraId="1A0A4402">
            <w:pPr>
              <w:spacing w:line="380" w:lineRule="exact"/>
              <w:jc w:val="center"/>
              <w:rPr>
                <w:rFonts w:hint="eastAsia" w:ascii="宋体" w:hAnsi="宋体"/>
                <w:b/>
                <w:bCs/>
                <w:color w:val="auto"/>
                <w:sz w:val="22"/>
                <w:szCs w:val="22"/>
                <w:highlight w:val="none"/>
              </w:rPr>
            </w:pPr>
          </w:p>
        </w:tc>
      </w:tr>
      <w:tr w14:paraId="5319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721CE3D">
            <w:pPr>
              <w:spacing w:line="380" w:lineRule="exact"/>
              <w:jc w:val="center"/>
              <w:rPr>
                <w:rFonts w:hint="eastAsia" w:ascii="宋体" w:hAnsi="宋体"/>
                <w:b/>
                <w:bCs/>
                <w:color w:val="auto"/>
                <w:sz w:val="22"/>
                <w:szCs w:val="22"/>
                <w:highlight w:val="none"/>
              </w:rPr>
            </w:pPr>
          </w:p>
        </w:tc>
        <w:tc>
          <w:tcPr>
            <w:tcW w:w="1260" w:type="dxa"/>
            <w:noWrap w:val="0"/>
            <w:vAlign w:val="center"/>
          </w:tcPr>
          <w:p w14:paraId="0D6BA276">
            <w:pPr>
              <w:spacing w:line="380" w:lineRule="exact"/>
              <w:jc w:val="center"/>
              <w:rPr>
                <w:rFonts w:hint="eastAsia" w:ascii="宋体" w:hAnsi="宋体"/>
                <w:b/>
                <w:bCs/>
                <w:color w:val="auto"/>
                <w:sz w:val="22"/>
                <w:szCs w:val="22"/>
                <w:highlight w:val="none"/>
              </w:rPr>
            </w:pPr>
          </w:p>
        </w:tc>
        <w:tc>
          <w:tcPr>
            <w:tcW w:w="1980" w:type="dxa"/>
            <w:noWrap w:val="0"/>
            <w:vAlign w:val="center"/>
          </w:tcPr>
          <w:p w14:paraId="55278458">
            <w:pPr>
              <w:spacing w:line="380" w:lineRule="exact"/>
              <w:jc w:val="center"/>
              <w:rPr>
                <w:rFonts w:hint="eastAsia" w:ascii="宋体" w:hAnsi="宋体"/>
                <w:b/>
                <w:bCs/>
                <w:color w:val="auto"/>
                <w:sz w:val="22"/>
                <w:szCs w:val="22"/>
                <w:highlight w:val="none"/>
              </w:rPr>
            </w:pPr>
          </w:p>
        </w:tc>
        <w:tc>
          <w:tcPr>
            <w:tcW w:w="1401" w:type="dxa"/>
            <w:noWrap w:val="0"/>
            <w:vAlign w:val="center"/>
          </w:tcPr>
          <w:p w14:paraId="4112F1C5">
            <w:pPr>
              <w:spacing w:line="380" w:lineRule="exact"/>
              <w:jc w:val="center"/>
              <w:rPr>
                <w:rFonts w:hint="eastAsia" w:ascii="宋体" w:hAnsi="宋体"/>
                <w:b/>
                <w:bCs/>
                <w:color w:val="auto"/>
                <w:sz w:val="22"/>
                <w:szCs w:val="22"/>
                <w:highlight w:val="none"/>
              </w:rPr>
            </w:pPr>
          </w:p>
        </w:tc>
        <w:tc>
          <w:tcPr>
            <w:tcW w:w="1056" w:type="dxa"/>
            <w:noWrap w:val="0"/>
            <w:vAlign w:val="center"/>
          </w:tcPr>
          <w:p w14:paraId="45E81127">
            <w:pPr>
              <w:spacing w:line="380" w:lineRule="exact"/>
              <w:jc w:val="center"/>
              <w:rPr>
                <w:rFonts w:hint="eastAsia" w:ascii="宋体" w:hAnsi="宋体"/>
                <w:b/>
                <w:bCs/>
                <w:color w:val="auto"/>
                <w:sz w:val="22"/>
                <w:szCs w:val="22"/>
                <w:highlight w:val="none"/>
              </w:rPr>
            </w:pPr>
          </w:p>
        </w:tc>
        <w:tc>
          <w:tcPr>
            <w:tcW w:w="1455" w:type="dxa"/>
            <w:noWrap w:val="0"/>
            <w:vAlign w:val="center"/>
          </w:tcPr>
          <w:p w14:paraId="1650D10C">
            <w:pPr>
              <w:spacing w:line="380" w:lineRule="exact"/>
              <w:jc w:val="center"/>
              <w:rPr>
                <w:rFonts w:hint="eastAsia" w:ascii="宋体" w:hAnsi="宋体"/>
                <w:b/>
                <w:bCs/>
                <w:color w:val="auto"/>
                <w:sz w:val="22"/>
                <w:szCs w:val="22"/>
                <w:highlight w:val="none"/>
              </w:rPr>
            </w:pPr>
          </w:p>
        </w:tc>
        <w:tc>
          <w:tcPr>
            <w:tcW w:w="1634" w:type="dxa"/>
            <w:noWrap w:val="0"/>
            <w:vAlign w:val="center"/>
          </w:tcPr>
          <w:p w14:paraId="59364A56">
            <w:pPr>
              <w:spacing w:line="380" w:lineRule="exact"/>
              <w:jc w:val="center"/>
              <w:rPr>
                <w:rFonts w:hint="eastAsia" w:ascii="宋体" w:hAnsi="宋体"/>
                <w:b/>
                <w:bCs/>
                <w:color w:val="auto"/>
                <w:sz w:val="22"/>
                <w:szCs w:val="22"/>
                <w:highlight w:val="none"/>
              </w:rPr>
            </w:pPr>
          </w:p>
        </w:tc>
      </w:tr>
      <w:tr w14:paraId="082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CF970E2">
            <w:pPr>
              <w:spacing w:line="380" w:lineRule="exact"/>
              <w:jc w:val="center"/>
              <w:rPr>
                <w:rFonts w:hint="eastAsia" w:ascii="宋体" w:hAnsi="宋体"/>
                <w:b/>
                <w:bCs/>
                <w:color w:val="auto"/>
                <w:sz w:val="22"/>
                <w:szCs w:val="22"/>
                <w:highlight w:val="none"/>
              </w:rPr>
            </w:pPr>
          </w:p>
        </w:tc>
        <w:tc>
          <w:tcPr>
            <w:tcW w:w="1260" w:type="dxa"/>
            <w:noWrap w:val="0"/>
            <w:vAlign w:val="center"/>
          </w:tcPr>
          <w:p w14:paraId="4F05D7C4">
            <w:pPr>
              <w:spacing w:line="380" w:lineRule="exact"/>
              <w:jc w:val="center"/>
              <w:rPr>
                <w:rFonts w:hint="eastAsia" w:ascii="宋体" w:hAnsi="宋体"/>
                <w:b/>
                <w:bCs/>
                <w:color w:val="auto"/>
                <w:sz w:val="22"/>
                <w:szCs w:val="22"/>
                <w:highlight w:val="none"/>
              </w:rPr>
            </w:pPr>
          </w:p>
        </w:tc>
        <w:tc>
          <w:tcPr>
            <w:tcW w:w="1980" w:type="dxa"/>
            <w:noWrap w:val="0"/>
            <w:vAlign w:val="center"/>
          </w:tcPr>
          <w:p w14:paraId="04823122">
            <w:pPr>
              <w:spacing w:line="380" w:lineRule="exact"/>
              <w:jc w:val="center"/>
              <w:rPr>
                <w:rFonts w:hint="eastAsia" w:ascii="宋体" w:hAnsi="宋体"/>
                <w:b/>
                <w:bCs/>
                <w:color w:val="auto"/>
                <w:sz w:val="22"/>
                <w:szCs w:val="22"/>
                <w:highlight w:val="none"/>
              </w:rPr>
            </w:pPr>
          </w:p>
        </w:tc>
        <w:tc>
          <w:tcPr>
            <w:tcW w:w="1401" w:type="dxa"/>
            <w:noWrap w:val="0"/>
            <w:vAlign w:val="center"/>
          </w:tcPr>
          <w:p w14:paraId="162049E1">
            <w:pPr>
              <w:spacing w:line="380" w:lineRule="exact"/>
              <w:jc w:val="center"/>
              <w:rPr>
                <w:rFonts w:hint="eastAsia" w:ascii="宋体" w:hAnsi="宋体"/>
                <w:b/>
                <w:bCs/>
                <w:color w:val="auto"/>
                <w:sz w:val="22"/>
                <w:szCs w:val="22"/>
                <w:highlight w:val="none"/>
              </w:rPr>
            </w:pPr>
          </w:p>
        </w:tc>
        <w:tc>
          <w:tcPr>
            <w:tcW w:w="1056" w:type="dxa"/>
            <w:noWrap w:val="0"/>
            <w:vAlign w:val="center"/>
          </w:tcPr>
          <w:p w14:paraId="06FE9BD3">
            <w:pPr>
              <w:spacing w:line="380" w:lineRule="exact"/>
              <w:jc w:val="center"/>
              <w:rPr>
                <w:rFonts w:hint="eastAsia" w:ascii="宋体" w:hAnsi="宋体"/>
                <w:b/>
                <w:bCs/>
                <w:color w:val="auto"/>
                <w:sz w:val="22"/>
                <w:szCs w:val="22"/>
                <w:highlight w:val="none"/>
              </w:rPr>
            </w:pPr>
          </w:p>
        </w:tc>
        <w:tc>
          <w:tcPr>
            <w:tcW w:w="1455" w:type="dxa"/>
            <w:noWrap w:val="0"/>
            <w:vAlign w:val="center"/>
          </w:tcPr>
          <w:p w14:paraId="444D982F">
            <w:pPr>
              <w:spacing w:line="380" w:lineRule="exact"/>
              <w:jc w:val="center"/>
              <w:rPr>
                <w:rFonts w:hint="eastAsia" w:ascii="宋体" w:hAnsi="宋体"/>
                <w:b/>
                <w:bCs/>
                <w:color w:val="auto"/>
                <w:sz w:val="22"/>
                <w:szCs w:val="22"/>
                <w:highlight w:val="none"/>
              </w:rPr>
            </w:pPr>
          </w:p>
        </w:tc>
        <w:tc>
          <w:tcPr>
            <w:tcW w:w="1634" w:type="dxa"/>
            <w:noWrap w:val="0"/>
            <w:vAlign w:val="center"/>
          </w:tcPr>
          <w:p w14:paraId="35FA38BB">
            <w:pPr>
              <w:spacing w:line="380" w:lineRule="exact"/>
              <w:jc w:val="center"/>
              <w:rPr>
                <w:rFonts w:hint="eastAsia" w:ascii="宋体" w:hAnsi="宋体"/>
                <w:b/>
                <w:bCs/>
                <w:color w:val="auto"/>
                <w:sz w:val="22"/>
                <w:szCs w:val="22"/>
                <w:highlight w:val="none"/>
              </w:rPr>
            </w:pPr>
          </w:p>
        </w:tc>
      </w:tr>
      <w:tr w14:paraId="71EC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1CEAAF8">
            <w:pPr>
              <w:spacing w:line="380" w:lineRule="exact"/>
              <w:jc w:val="center"/>
              <w:rPr>
                <w:rFonts w:hint="eastAsia" w:ascii="宋体" w:hAnsi="宋体"/>
                <w:b/>
                <w:bCs/>
                <w:color w:val="auto"/>
                <w:sz w:val="22"/>
                <w:szCs w:val="22"/>
                <w:highlight w:val="none"/>
              </w:rPr>
            </w:pPr>
          </w:p>
        </w:tc>
        <w:tc>
          <w:tcPr>
            <w:tcW w:w="1260" w:type="dxa"/>
            <w:noWrap w:val="0"/>
            <w:vAlign w:val="center"/>
          </w:tcPr>
          <w:p w14:paraId="0107D749">
            <w:pPr>
              <w:spacing w:line="380" w:lineRule="exact"/>
              <w:jc w:val="center"/>
              <w:rPr>
                <w:rFonts w:hint="eastAsia" w:ascii="宋体" w:hAnsi="宋体"/>
                <w:b/>
                <w:bCs/>
                <w:color w:val="auto"/>
                <w:sz w:val="22"/>
                <w:szCs w:val="22"/>
                <w:highlight w:val="none"/>
              </w:rPr>
            </w:pPr>
          </w:p>
        </w:tc>
        <w:tc>
          <w:tcPr>
            <w:tcW w:w="1980" w:type="dxa"/>
            <w:noWrap w:val="0"/>
            <w:vAlign w:val="center"/>
          </w:tcPr>
          <w:p w14:paraId="430F327E">
            <w:pPr>
              <w:spacing w:line="380" w:lineRule="exact"/>
              <w:jc w:val="center"/>
              <w:rPr>
                <w:rFonts w:hint="eastAsia" w:ascii="宋体" w:hAnsi="宋体"/>
                <w:b/>
                <w:bCs/>
                <w:color w:val="auto"/>
                <w:sz w:val="22"/>
                <w:szCs w:val="22"/>
                <w:highlight w:val="none"/>
              </w:rPr>
            </w:pPr>
          </w:p>
        </w:tc>
        <w:tc>
          <w:tcPr>
            <w:tcW w:w="1401" w:type="dxa"/>
            <w:noWrap w:val="0"/>
            <w:vAlign w:val="center"/>
          </w:tcPr>
          <w:p w14:paraId="6F50B889">
            <w:pPr>
              <w:spacing w:line="380" w:lineRule="exact"/>
              <w:jc w:val="center"/>
              <w:rPr>
                <w:rFonts w:hint="eastAsia" w:ascii="宋体" w:hAnsi="宋体"/>
                <w:b/>
                <w:bCs/>
                <w:color w:val="auto"/>
                <w:sz w:val="22"/>
                <w:szCs w:val="22"/>
                <w:highlight w:val="none"/>
              </w:rPr>
            </w:pPr>
          </w:p>
        </w:tc>
        <w:tc>
          <w:tcPr>
            <w:tcW w:w="1056" w:type="dxa"/>
            <w:noWrap w:val="0"/>
            <w:vAlign w:val="center"/>
          </w:tcPr>
          <w:p w14:paraId="283D16F3">
            <w:pPr>
              <w:spacing w:line="380" w:lineRule="exact"/>
              <w:jc w:val="center"/>
              <w:rPr>
                <w:rFonts w:hint="eastAsia" w:ascii="宋体" w:hAnsi="宋体"/>
                <w:b/>
                <w:bCs/>
                <w:color w:val="auto"/>
                <w:sz w:val="22"/>
                <w:szCs w:val="22"/>
                <w:highlight w:val="none"/>
              </w:rPr>
            </w:pPr>
          </w:p>
        </w:tc>
        <w:tc>
          <w:tcPr>
            <w:tcW w:w="1455" w:type="dxa"/>
            <w:noWrap w:val="0"/>
            <w:vAlign w:val="center"/>
          </w:tcPr>
          <w:p w14:paraId="53BCF3BB">
            <w:pPr>
              <w:spacing w:line="380" w:lineRule="exact"/>
              <w:jc w:val="center"/>
              <w:rPr>
                <w:rFonts w:hint="eastAsia" w:ascii="宋体" w:hAnsi="宋体"/>
                <w:b/>
                <w:bCs/>
                <w:color w:val="auto"/>
                <w:sz w:val="22"/>
                <w:szCs w:val="22"/>
                <w:highlight w:val="none"/>
              </w:rPr>
            </w:pPr>
          </w:p>
        </w:tc>
        <w:tc>
          <w:tcPr>
            <w:tcW w:w="1634" w:type="dxa"/>
            <w:noWrap w:val="0"/>
            <w:vAlign w:val="center"/>
          </w:tcPr>
          <w:p w14:paraId="72E90AB8">
            <w:pPr>
              <w:spacing w:line="380" w:lineRule="exact"/>
              <w:jc w:val="center"/>
              <w:rPr>
                <w:rFonts w:hint="eastAsia" w:ascii="宋体" w:hAnsi="宋体"/>
                <w:b/>
                <w:bCs/>
                <w:color w:val="auto"/>
                <w:sz w:val="22"/>
                <w:szCs w:val="22"/>
                <w:highlight w:val="none"/>
              </w:rPr>
            </w:pPr>
          </w:p>
        </w:tc>
      </w:tr>
      <w:tr w14:paraId="2B9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F4E8FCA">
            <w:pPr>
              <w:spacing w:line="380" w:lineRule="exact"/>
              <w:jc w:val="center"/>
              <w:rPr>
                <w:rFonts w:hint="eastAsia" w:ascii="宋体" w:hAnsi="宋体"/>
                <w:b/>
                <w:bCs/>
                <w:color w:val="auto"/>
                <w:sz w:val="22"/>
                <w:szCs w:val="22"/>
                <w:highlight w:val="none"/>
              </w:rPr>
            </w:pPr>
          </w:p>
        </w:tc>
        <w:tc>
          <w:tcPr>
            <w:tcW w:w="1260" w:type="dxa"/>
            <w:noWrap w:val="0"/>
            <w:vAlign w:val="center"/>
          </w:tcPr>
          <w:p w14:paraId="1D6D0BB4">
            <w:pPr>
              <w:spacing w:line="380" w:lineRule="exact"/>
              <w:jc w:val="center"/>
              <w:rPr>
                <w:rFonts w:hint="eastAsia" w:ascii="宋体" w:hAnsi="宋体"/>
                <w:b/>
                <w:bCs/>
                <w:color w:val="auto"/>
                <w:sz w:val="22"/>
                <w:szCs w:val="22"/>
                <w:highlight w:val="none"/>
              </w:rPr>
            </w:pPr>
          </w:p>
        </w:tc>
        <w:tc>
          <w:tcPr>
            <w:tcW w:w="1980" w:type="dxa"/>
            <w:noWrap w:val="0"/>
            <w:vAlign w:val="center"/>
          </w:tcPr>
          <w:p w14:paraId="2E0C08B8">
            <w:pPr>
              <w:spacing w:line="380" w:lineRule="exact"/>
              <w:jc w:val="center"/>
              <w:rPr>
                <w:rFonts w:hint="eastAsia" w:ascii="宋体" w:hAnsi="宋体"/>
                <w:b/>
                <w:bCs/>
                <w:color w:val="auto"/>
                <w:sz w:val="22"/>
                <w:szCs w:val="22"/>
                <w:highlight w:val="none"/>
              </w:rPr>
            </w:pPr>
          </w:p>
        </w:tc>
        <w:tc>
          <w:tcPr>
            <w:tcW w:w="1401" w:type="dxa"/>
            <w:noWrap w:val="0"/>
            <w:vAlign w:val="center"/>
          </w:tcPr>
          <w:p w14:paraId="1D37A90E">
            <w:pPr>
              <w:spacing w:line="380" w:lineRule="exact"/>
              <w:jc w:val="center"/>
              <w:rPr>
                <w:rFonts w:hint="eastAsia" w:ascii="宋体" w:hAnsi="宋体"/>
                <w:b/>
                <w:bCs/>
                <w:color w:val="auto"/>
                <w:sz w:val="22"/>
                <w:szCs w:val="22"/>
                <w:highlight w:val="none"/>
              </w:rPr>
            </w:pPr>
          </w:p>
        </w:tc>
        <w:tc>
          <w:tcPr>
            <w:tcW w:w="1056" w:type="dxa"/>
            <w:noWrap w:val="0"/>
            <w:vAlign w:val="center"/>
          </w:tcPr>
          <w:p w14:paraId="675CE890">
            <w:pPr>
              <w:spacing w:line="380" w:lineRule="exact"/>
              <w:jc w:val="center"/>
              <w:rPr>
                <w:rFonts w:hint="eastAsia" w:ascii="宋体" w:hAnsi="宋体"/>
                <w:b/>
                <w:bCs/>
                <w:color w:val="auto"/>
                <w:sz w:val="22"/>
                <w:szCs w:val="22"/>
                <w:highlight w:val="none"/>
              </w:rPr>
            </w:pPr>
          </w:p>
        </w:tc>
        <w:tc>
          <w:tcPr>
            <w:tcW w:w="1455" w:type="dxa"/>
            <w:noWrap w:val="0"/>
            <w:vAlign w:val="center"/>
          </w:tcPr>
          <w:p w14:paraId="5640EDB7">
            <w:pPr>
              <w:spacing w:line="380" w:lineRule="exact"/>
              <w:jc w:val="center"/>
              <w:rPr>
                <w:rFonts w:hint="eastAsia" w:ascii="宋体" w:hAnsi="宋体"/>
                <w:b/>
                <w:bCs/>
                <w:color w:val="auto"/>
                <w:sz w:val="22"/>
                <w:szCs w:val="22"/>
                <w:highlight w:val="none"/>
              </w:rPr>
            </w:pPr>
          </w:p>
        </w:tc>
        <w:tc>
          <w:tcPr>
            <w:tcW w:w="1634" w:type="dxa"/>
            <w:noWrap w:val="0"/>
            <w:vAlign w:val="center"/>
          </w:tcPr>
          <w:p w14:paraId="31A26B78">
            <w:pPr>
              <w:spacing w:line="380" w:lineRule="exact"/>
              <w:jc w:val="center"/>
              <w:rPr>
                <w:rFonts w:hint="eastAsia" w:ascii="宋体" w:hAnsi="宋体"/>
                <w:b/>
                <w:bCs/>
                <w:color w:val="auto"/>
                <w:sz w:val="22"/>
                <w:szCs w:val="22"/>
                <w:highlight w:val="none"/>
              </w:rPr>
            </w:pPr>
          </w:p>
        </w:tc>
      </w:tr>
    </w:tbl>
    <w:p w14:paraId="793EA649">
      <w:pPr>
        <w:spacing w:line="380" w:lineRule="exact"/>
        <w:ind w:firstLine="5963" w:firstLineChars="2700"/>
        <w:rPr>
          <w:rFonts w:ascii="宋体" w:hAnsi="宋体"/>
          <w:b/>
          <w:bCs/>
          <w:color w:val="auto"/>
          <w:sz w:val="22"/>
          <w:szCs w:val="22"/>
          <w:highlight w:val="none"/>
        </w:rPr>
      </w:pPr>
    </w:p>
    <w:p w14:paraId="6CCD9DD3">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（2）随机备品备件、易损易耗件和专用工具清单（如有）</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5496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D590F5">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328" w:type="dxa"/>
            <w:vAlign w:val="center"/>
          </w:tcPr>
          <w:p w14:paraId="77C22239">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470" w:type="dxa"/>
            <w:vAlign w:val="center"/>
          </w:tcPr>
          <w:p w14:paraId="4175B958">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型号规格</w:t>
            </w:r>
          </w:p>
        </w:tc>
        <w:tc>
          <w:tcPr>
            <w:tcW w:w="931" w:type="dxa"/>
            <w:vAlign w:val="center"/>
          </w:tcPr>
          <w:p w14:paraId="0C1CA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2340" w:type="dxa"/>
            <w:vAlign w:val="center"/>
          </w:tcPr>
          <w:p w14:paraId="0830AC0E">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原产地/制造商</w:t>
            </w:r>
          </w:p>
        </w:tc>
        <w:tc>
          <w:tcPr>
            <w:tcW w:w="1570" w:type="dxa"/>
            <w:vAlign w:val="center"/>
          </w:tcPr>
          <w:p w14:paraId="09819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2AF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7C29637">
            <w:pPr>
              <w:spacing w:line="380" w:lineRule="exact"/>
              <w:jc w:val="center"/>
              <w:rPr>
                <w:rFonts w:ascii="宋体" w:hAnsi="宋体"/>
                <w:b/>
                <w:bCs/>
                <w:color w:val="auto"/>
                <w:sz w:val="22"/>
                <w:szCs w:val="22"/>
                <w:highlight w:val="none"/>
              </w:rPr>
            </w:pPr>
          </w:p>
        </w:tc>
        <w:tc>
          <w:tcPr>
            <w:tcW w:w="2328" w:type="dxa"/>
            <w:vAlign w:val="center"/>
          </w:tcPr>
          <w:p w14:paraId="2DC3C46F">
            <w:pPr>
              <w:spacing w:line="380" w:lineRule="exact"/>
              <w:jc w:val="center"/>
              <w:rPr>
                <w:rFonts w:ascii="宋体" w:hAnsi="宋体"/>
                <w:b/>
                <w:bCs/>
                <w:color w:val="auto"/>
                <w:sz w:val="22"/>
                <w:szCs w:val="22"/>
                <w:highlight w:val="none"/>
              </w:rPr>
            </w:pPr>
          </w:p>
        </w:tc>
        <w:tc>
          <w:tcPr>
            <w:tcW w:w="1470" w:type="dxa"/>
            <w:vAlign w:val="center"/>
          </w:tcPr>
          <w:p w14:paraId="01255E4D">
            <w:pPr>
              <w:spacing w:line="380" w:lineRule="exact"/>
              <w:jc w:val="center"/>
              <w:rPr>
                <w:rFonts w:ascii="宋体" w:hAnsi="宋体"/>
                <w:b/>
                <w:bCs/>
                <w:color w:val="auto"/>
                <w:sz w:val="22"/>
                <w:szCs w:val="22"/>
                <w:highlight w:val="none"/>
              </w:rPr>
            </w:pPr>
          </w:p>
        </w:tc>
        <w:tc>
          <w:tcPr>
            <w:tcW w:w="931" w:type="dxa"/>
            <w:vAlign w:val="center"/>
          </w:tcPr>
          <w:p w14:paraId="7F57BC1D">
            <w:pPr>
              <w:spacing w:line="380" w:lineRule="exact"/>
              <w:jc w:val="center"/>
              <w:rPr>
                <w:rFonts w:ascii="宋体" w:hAnsi="宋体"/>
                <w:b/>
                <w:bCs/>
                <w:color w:val="auto"/>
                <w:sz w:val="22"/>
                <w:szCs w:val="22"/>
                <w:highlight w:val="none"/>
              </w:rPr>
            </w:pPr>
          </w:p>
        </w:tc>
        <w:tc>
          <w:tcPr>
            <w:tcW w:w="2340" w:type="dxa"/>
            <w:vAlign w:val="center"/>
          </w:tcPr>
          <w:p w14:paraId="79904D4B">
            <w:pPr>
              <w:spacing w:line="380" w:lineRule="exact"/>
              <w:jc w:val="center"/>
              <w:rPr>
                <w:rFonts w:ascii="宋体" w:hAnsi="宋体"/>
                <w:b/>
                <w:bCs/>
                <w:color w:val="auto"/>
                <w:sz w:val="22"/>
                <w:szCs w:val="22"/>
                <w:highlight w:val="none"/>
              </w:rPr>
            </w:pPr>
          </w:p>
        </w:tc>
        <w:tc>
          <w:tcPr>
            <w:tcW w:w="1570" w:type="dxa"/>
            <w:vAlign w:val="center"/>
          </w:tcPr>
          <w:p w14:paraId="2BB86FA6">
            <w:pPr>
              <w:spacing w:line="380" w:lineRule="exact"/>
              <w:jc w:val="center"/>
              <w:rPr>
                <w:rFonts w:ascii="宋体" w:hAnsi="宋体"/>
                <w:b/>
                <w:bCs/>
                <w:color w:val="auto"/>
                <w:sz w:val="22"/>
                <w:szCs w:val="22"/>
                <w:highlight w:val="none"/>
              </w:rPr>
            </w:pPr>
          </w:p>
        </w:tc>
      </w:tr>
      <w:tr w14:paraId="6B84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799F87">
            <w:pPr>
              <w:spacing w:line="380" w:lineRule="exact"/>
              <w:jc w:val="center"/>
              <w:rPr>
                <w:rFonts w:ascii="宋体" w:hAnsi="宋体"/>
                <w:b/>
                <w:bCs/>
                <w:color w:val="auto"/>
                <w:sz w:val="22"/>
                <w:szCs w:val="22"/>
                <w:highlight w:val="none"/>
              </w:rPr>
            </w:pPr>
          </w:p>
        </w:tc>
        <w:tc>
          <w:tcPr>
            <w:tcW w:w="2328" w:type="dxa"/>
            <w:vAlign w:val="center"/>
          </w:tcPr>
          <w:p w14:paraId="360F2277">
            <w:pPr>
              <w:spacing w:line="380" w:lineRule="exact"/>
              <w:jc w:val="center"/>
              <w:rPr>
                <w:rFonts w:ascii="宋体" w:hAnsi="宋体"/>
                <w:b/>
                <w:bCs/>
                <w:color w:val="auto"/>
                <w:sz w:val="22"/>
                <w:szCs w:val="22"/>
                <w:highlight w:val="none"/>
              </w:rPr>
            </w:pPr>
          </w:p>
        </w:tc>
        <w:tc>
          <w:tcPr>
            <w:tcW w:w="1470" w:type="dxa"/>
            <w:vAlign w:val="center"/>
          </w:tcPr>
          <w:p w14:paraId="63237D76">
            <w:pPr>
              <w:spacing w:line="380" w:lineRule="exact"/>
              <w:jc w:val="center"/>
              <w:rPr>
                <w:rFonts w:ascii="宋体" w:hAnsi="宋体"/>
                <w:b/>
                <w:bCs/>
                <w:color w:val="auto"/>
                <w:sz w:val="22"/>
                <w:szCs w:val="22"/>
                <w:highlight w:val="none"/>
              </w:rPr>
            </w:pPr>
          </w:p>
        </w:tc>
        <w:tc>
          <w:tcPr>
            <w:tcW w:w="931" w:type="dxa"/>
            <w:vAlign w:val="center"/>
          </w:tcPr>
          <w:p w14:paraId="0484A87B">
            <w:pPr>
              <w:spacing w:line="380" w:lineRule="exact"/>
              <w:jc w:val="center"/>
              <w:rPr>
                <w:rFonts w:ascii="宋体" w:hAnsi="宋体"/>
                <w:b/>
                <w:bCs/>
                <w:color w:val="auto"/>
                <w:sz w:val="22"/>
                <w:szCs w:val="22"/>
                <w:highlight w:val="none"/>
              </w:rPr>
            </w:pPr>
          </w:p>
        </w:tc>
        <w:tc>
          <w:tcPr>
            <w:tcW w:w="2340" w:type="dxa"/>
            <w:vAlign w:val="center"/>
          </w:tcPr>
          <w:p w14:paraId="17805BD1">
            <w:pPr>
              <w:spacing w:line="380" w:lineRule="exact"/>
              <w:jc w:val="center"/>
              <w:rPr>
                <w:rFonts w:ascii="宋体" w:hAnsi="宋体"/>
                <w:b/>
                <w:bCs/>
                <w:color w:val="auto"/>
                <w:sz w:val="22"/>
                <w:szCs w:val="22"/>
                <w:highlight w:val="none"/>
              </w:rPr>
            </w:pPr>
          </w:p>
        </w:tc>
        <w:tc>
          <w:tcPr>
            <w:tcW w:w="1570" w:type="dxa"/>
            <w:vAlign w:val="center"/>
          </w:tcPr>
          <w:p w14:paraId="19DD7AFC">
            <w:pPr>
              <w:spacing w:line="380" w:lineRule="exact"/>
              <w:jc w:val="center"/>
              <w:rPr>
                <w:rFonts w:ascii="宋体" w:hAnsi="宋体"/>
                <w:b/>
                <w:bCs/>
                <w:color w:val="auto"/>
                <w:sz w:val="22"/>
                <w:szCs w:val="22"/>
                <w:highlight w:val="none"/>
              </w:rPr>
            </w:pPr>
          </w:p>
        </w:tc>
      </w:tr>
      <w:tr w14:paraId="62A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0DFDE9F">
            <w:pPr>
              <w:spacing w:line="380" w:lineRule="exact"/>
              <w:jc w:val="center"/>
              <w:rPr>
                <w:rFonts w:ascii="宋体" w:hAnsi="宋体"/>
                <w:b/>
                <w:bCs/>
                <w:color w:val="auto"/>
                <w:sz w:val="22"/>
                <w:szCs w:val="22"/>
                <w:highlight w:val="none"/>
              </w:rPr>
            </w:pPr>
          </w:p>
        </w:tc>
        <w:tc>
          <w:tcPr>
            <w:tcW w:w="2328" w:type="dxa"/>
            <w:vAlign w:val="center"/>
          </w:tcPr>
          <w:p w14:paraId="0BB4C5FB">
            <w:pPr>
              <w:spacing w:line="380" w:lineRule="exact"/>
              <w:jc w:val="center"/>
              <w:rPr>
                <w:rFonts w:ascii="宋体" w:hAnsi="宋体"/>
                <w:b/>
                <w:bCs/>
                <w:color w:val="auto"/>
                <w:sz w:val="22"/>
                <w:szCs w:val="22"/>
                <w:highlight w:val="none"/>
              </w:rPr>
            </w:pPr>
          </w:p>
        </w:tc>
        <w:tc>
          <w:tcPr>
            <w:tcW w:w="1470" w:type="dxa"/>
            <w:vAlign w:val="center"/>
          </w:tcPr>
          <w:p w14:paraId="3859DE6E">
            <w:pPr>
              <w:spacing w:line="380" w:lineRule="exact"/>
              <w:jc w:val="center"/>
              <w:rPr>
                <w:rFonts w:ascii="宋体" w:hAnsi="宋体"/>
                <w:b/>
                <w:bCs/>
                <w:color w:val="auto"/>
                <w:sz w:val="22"/>
                <w:szCs w:val="22"/>
                <w:highlight w:val="none"/>
              </w:rPr>
            </w:pPr>
          </w:p>
        </w:tc>
        <w:tc>
          <w:tcPr>
            <w:tcW w:w="931" w:type="dxa"/>
            <w:vAlign w:val="center"/>
          </w:tcPr>
          <w:p w14:paraId="1CCF21CC">
            <w:pPr>
              <w:spacing w:line="380" w:lineRule="exact"/>
              <w:jc w:val="center"/>
              <w:rPr>
                <w:rFonts w:ascii="宋体" w:hAnsi="宋体"/>
                <w:b/>
                <w:bCs/>
                <w:color w:val="auto"/>
                <w:sz w:val="22"/>
                <w:szCs w:val="22"/>
                <w:highlight w:val="none"/>
              </w:rPr>
            </w:pPr>
          </w:p>
        </w:tc>
        <w:tc>
          <w:tcPr>
            <w:tcW w:w="2340" w:type="dxa"/>
            <w:vAlign w:val="center"/>
          </w:tcPr>
          <w:p w14:paraId="5DD76798">
            <w:pPr>
              <w:spacing w:line="380" w:lineRule="exact"/>
              <w:jc w:val="center"/>
              <w:rPr>
                <w:rFonts w:ascii="宋体" w:hAnsi="宋体"/>
                <w:b/>
                <w:bCs/>
                <w:color w:val="auto"/>
                <w:sz w:val="22"/>
                <w:szCs w:val="22"/>
                <w:highlight w:val="none"/>
              </w:rPr>
            </w:pPr>
          </w:p>
        </w:tc>
        <w:tc>
          <w:tcPr>
            <w:tcW w:w="1570" w:type="dxa"/>
            <w:vAlign w:val="center"/>
          </w:tcPr>
          <w:p w14:paraId="1BB73259">
            <w:pPr>
              <w:spacing w:line="380" w:lineRule="exact"/>
              <w:jc w:val="center"/>
              <w:rPr>
                <w:rFonts w:ascii="宋体" w:hAnsi="宋体"/>
                <w:b/>
                <w:bCs/>
                <w:color w:val="auto"/>
                <w:sz w:val="22"/>
                <w:szCs w:val="22"/>
                <w:highlight w:val="none"/>
              </w:rPr>
            </w:pPr>
          </w:p>
        </w:tc>
      </w:tr>
      <w:tr w14:paraId="652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1A6A8A">
            <w:pPr>
              <w:spacing w:line="380" w:lineRule="exact"/>
              <w:jc w:val="center"/>
              <w:rPr>
                <w:rFonts w:ascii="宋体" w:hAnsi="宋体"/>
                <w:b/>
                <w:bCs/>
                <w:color w:val="auto"/>
                <w:sz w:val="22"/>
                <w:szCs w:val="22"/>
                <w:highlight w:val="none"/>
              </w:rPr>
            </w:pPr>
          </w:p>
        </w:tc>
        <w:tc>
          <w:tcPr>
            <w:tcW w:w="2328" w:type="dxa"/>
            <w:vAlign w:val="center"/>
          </w:tcPr>
          <w:p w14:paraId="6D40291A">
            <w:pPr>
              <w:spacing w:line="380" w:lineRule="exact"/>
              <w:jc w:val="center"/>
              <w:rPr>
                <w:rFonts w:ascii="宋体" w:hAnsi="宋体"/>
                <w:b/>
                <w:bCs/>
                <w:color w:val="auto"/>
                <w:sz w:val="22"/>
                <w:szCs w:val="22"/>
                <w:highlight w:val="none"/>
              </w:rPr>
            </w:pPr>
          </w:p>
        </w:tc>
        <w:tc>
          <w:tcPr>
            <w:tcW w:w="1470" w:type="dxa"/>
            <w:vAlign w:val="center"/>
          </w:tcPr>
          <w:p w14:paraId="46615184">
            <w:pPr>
              <w:spacing w:line="380" w:lineRule="exact"/>
              <w:jc w:val="center"/>
              <w:rPr>
                <w:rFonts w:ascii="宋体" w:hAnsi="宋体"/>
                <w:b/>
                <w:bCs/>
                <w:color w:val="auto"/>
                <w:sz w:val="22"/>
                <w:szCs w:val="22"/>
                <w:highlight w:val="none"/>
              </w:rPr>
            </w:pPr>
          </w:p>
        </w:tc>
        <w:tc>
          <w:tcPr>
            <w:tcW w:w="931" w:type="dxa"/>
            <w:vAlign w:val="center"/>
          </w:tcPr>
          <w:p w14:paraId="3A947BF0">
            <w:pPr>
              <w:spacing w:line="380" w:lineRule="exact"/>
              <w:jc w:val="center"/>
              <w:rPr>
                <w:rFonts w:ascii="宋体" w:hAnsi="宋体"/>
                <w:b/>
                <w:bCs/>
                <w:color w:val="auto"/>
                <w:sz w:val="22"/>
                <w:szCs w:val="22"/>
                <w:highlight w:val="none"/>
              </w:rPr>
            </w:pPr>
          </w:p>
        </w:tc>
        <w:tc>
          <w:tcPr>
            <w:tcW w:w="2340" w:type="dxa"/>
            <w:vAlign w:val="center"/>
          </w:tcPr>
          <w:p w14:paraId="17D8EEAC">
            <w:pPr>
              <w:spacing w:line="380" w:lineRule="exact"/>
              <w:jc w:val="center"/>
              <w:rPr>
                <w:rFonts w:ascii="宋体" w:hAnsi="宋体"/>
                <w:b/>
                <w:bCs/>
                <w:color w:val="auto"/>
                <w:sz w:val="22"/>
                <w:szCs w:val="22"/>
                <w:highlight w:val="none"/>
              </w:rPr>
            </w:pPr>
          </w:p>
        </w:tc>
        <w:tc>
          <w:tcPr>
            <w:tcW w:w="1570" w:type="dxa"/>
            <w:vAlign w:val="center"/>
          </w:tcPr>
          <w:p w14:paraId="16AFCA7C">
            <w:pPr>
              <w:spacing w:line="380" w:lineRule="exact"/>
              <w:jc w:val="center"/>
              <w:rPr>
                <w:rFonts w:ascii="宋体" w:hAnsi="宋体"/>
                <w:b/>
                <w:bCs/>
                <w:color w:val="auto"/>
                <w:sz w:val="22"/>
                <w:szCs w:val="22"/>
                <w:highlight w:val="none"/>
              </w:rPr>
            </w:pPr>
          </w:p>
        </w:tc>
      </w:tr>
      <w:tr w14:paraId="38A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8E6EB6">
            <w:pPr>
              <w:spacing w:line="380" w:lineRule="exact"/>
              <w:jc w:val="center"/>
              <w:rPr>
                <w:rFonts w:ascii="宋体" w:hAnsi="宋体"/>
                <w:b/>
                <w:bCs/>
                <w:color w:val="auto"/>
                <w:sz w:val="22"/>
                <w:szCs w:val="22"/>
                <w:highlight w:val="none"/>
              </w:rPr>
            </w:pPr>
          </w:p>
        </w:tc>
        <w:tc>
          <w:tcPr>
            <w:tcW w:w="2328" w:type="dxa"/>
            <w:vAlign w:val="center"/>
          </w:tcPr>
          <w:p w14:paraId="75D604D9">
            <w:pPr>
              <w:spacing w:line="380" w:lineRule="exact"/>
              <w:jc w:val="center"/>
              <w:rPr>
                <w:rFonts w:ascii="宋体" w:hAnsi="宋体"/>
                <w:b/>
                <w:bCs/>
                <w:color w:val="auto"/>
                <w:sz w:val="22"/>
                <w:szCs w:val="22"/>
                <w:highlight w:val="none"/>
              </w:rPr>
            </w:pPr>
          </w:p>
        </w:tc>
        <w:tc>
          <w:tcPr>
            <w:tcW w:w="1470" w:type="dxa"/>
            <w:vAlign w:val="center"/>
          </w:tcPr>
          <w:p w14:paraId="40A0D13D">
            <w:pPr>
              <w:spacing w:line="380" w:lineRule="exact"/>
              <w:jc w:val="center"/>
              <w:rPr>
                <w:rFonts w:ascii="宋体" w:hAnsi="宋体"/>
                <w:b/>
                <w:bCs/>
                <w:color w:val="auto"/>
                <w:sz w:val="22"/>
                <w:szCs w:val="22"/>
                <w:highlight w:val="none"/>
              </w:rPr>
            </w:pPr>
          </w:p>
        </w:tc>
        <w:tc>
          <w:tcPr>
            <w:tcW w:w="931" w:type="dxa"/>
            <w:vAlign w:val="center"/>
          </w:tcPr>
          <w:p w14:paraId="2130085A">
            <w:pPr>
              <w:spacing w:line="380" w:lineRule="exact"/>
              <w:jc w:val="center"/>
              <w:rPr>
                <w:rFonts w:ascii="宋体" w:hAnsi="宋体"/>
                <w:b/>
                <w:bCs/>
                <w:color w:val="auto"/>
                <w:sz w:val="22"/>
                <w:szCs w:val="22"/>
                <w:highlight w:val="none"/>
              </w:rPr>
            </w:pPr>
          </w:p>
        </w:tc>
        <w:tc>
          <w:tcPr>
            <w:tcW w:w="2340" w:type="dxa"/>
            <w:vAlign w:val="center"/>
          </w:tcPr>
          <w:p w14:paraId="31B48E84">
            <w:pPr>
              <w:spacing w:line="380" w:lineRule="exact"/>
              <w:jc w:val="center"/>
              <w:rPr>
                <w:rFonts w:ascii="宋体" w:hAnsi="宋体"/>
                <w:b/>
                <w:bCs/>
                <w:color w:val="auto"/>
                <w:sz w:val="22"/>
                <w:szCs w:val="22"/>
                <w:highlight w:val="none"/>
              </w:rPr>
            </w:pPr>
          </w:p>
        </w:tc>
        <w:tc>
          <w:tcPr>
            <w:tcW w:w="1570" w:type="dxa"/>
            <w:vAlign w:val="center"/>
          </w:tcPr>
          <w:p w14:paraId="37A4C241">
            <w:pPr>
              <w:spacing w:line="380" w:lineRule="exact"/>
              <w:jc w:val="center"/>
              <w:rPr>
                <w:rFonts w:ascii="宋体" w:hAnsi="宋体"/>
                <w:b/>
                <w:bCs/>
                <w:color w:val="auto"/>
                <w:sz w:val="22"/>
                <w:szCs w:val="22"/>
                <w:highlight w:val="none"/>
              </w:rPr>
            </w:pPr>
          </w:p>
        </w:tc>
      </w:tr>
      <w:tr w14:paraId="5599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E5B201">
            <w:pPr>
              <w:spacing w:line="380" w:lineRule="exact"/>
              <w:jc w:val="center"/>
              <w:rPr>
                <w:rFonts w:ascii="宋体" w:hAnsi="宋体"/>
                <w:b/>
                <w:bCs/>
                <w:color w:val="auto"/>
                <w:sz w:val="22"/>
                <w:szCs w:val="22"/>
                <w:highlight w:val="none"/>
              </w:rPr>
            </w:pPr>
          </w:p>
        </w:tc>
        <w:tc>
          <w:tcPr>
            <w:tcW w:w="2328" w:type="dxa"/>
            <w:vAlign w:val="center"/>
          </w:tcPr>
          <w:p w14:paraId="4E4CE2DD">
            <w:pPr>
              <w:spacing w:line="380" w:lineRule="exact"/>
              <w:jc w:val="center"/>
              <w:rPr>
                <w:rFonts w:ascii="宋体" w:hAnsi="宋体"/>
                <w:b/>
                <w:bCs/>
                <w:color w:val="auto"/>
                <w:sz w:val="22"/>
                <w:szCs w:val="22"/>
                <w:highlight w:val="none"/>
              </w:rPr>
            </w:pPr>
          </w:p>
        </w:tc>
        <w:tc>
          <w:tcPr>
            <w:tcW w:w="1470" w:type="dxa"/>
            <w:vAlign w:val="center"/>
          </w:tcPr>
          <w:p w14:paraId="1EB03D6B">
            <w:pPr>
              <w:spacing w:line="380" w:lineRule="exact"/>
              <w:jc w:val="center"/>
              <w:rPr>
                <w:rFonts w:ascii="宋体" w:hAnsi="宋体"/>
                <w:b/>
                <w:bCs/>
                <w:color w:val="auto"/>
                <w:sz w:val="22"/>
                <w:szCs w:val="22"/>
                <w:highlight w:val="none"/>
              </w:rPr>
            </w:pPr>
          </w:p>
        </w:tc>
        <w:tc>
          <w:tcPr>
            <w:tcW w:w="931" w:type="dxa"/>
            <w:vAlign w:val="center"/>
          </w:tcPr>
          <w:p w14:paraId="26E55035">
            <w:pPr>
              <w:spacing w:line="380" w:lineRule="exact"/>
              <w:jc w:val="center"/>
              <w:rPr>
                <w:rFonts w:ascii="宋体" w:hAnsi="宋体"/>
                <w:b/>
                <w:bCs/>
                <w:color w:val="auto"/>
                <w:sz w:val="22"/>
                <w:szCs w:val="22"/>
                <w:highlight w:val="none"/>
              </w:rPr>
            </w:pPr>
          </w:p>
        </w:tc>
        <w:tc>
          <w:tcPr>
            <w:tcW w:w="2340" w:type="dxa"/>
            <w:vAlign w:val="center"/>
          </w:tcPr>
          <w:p w14:paraId="5FA316E0">
            <w:pPr>
              <w:spacing w:line="380" w:lineRule="exact"/>
              <w:jc w:val="center"/>
              <w:rPr>
                <w:rFonts w:ascii="宋体" w:hAnsi="宋体"/>
                <w:b/>
                <w:bCs/>
                <w:color w:val="auto"/>
                <w:sz w:val="22"/>
                <w:szCs w:val="22"/>
                <w:highlight w:val="none"/>
              </w:rPr>
            </w:pPr>
          </w:p>
        </w:tc>
        <w:tc>
          <w:tcPr>
            <w:tcW w:w="1570" w:type="dxa"/>
            <w:vAlign w:val="center"/>
          </w:tcPr>
          <w:p w14:paraId="01DFD0CD">
            <w:pPr>
              <w:spacing w:line="380" w:lineRule="exact"/>
              <w:jc w:val="center"/>
              <w:rPr>
                <w:rFonts w:ascii="宋体" w:hAnsi="宋体"/>
                <w:b/>
                <w:bCs/>
                <w:color w:val="auto"/>
                <w:sz w:val="22"/>
                <w:szCs w:val="22"/>
                <w:highlight w:val="none"/>
              </w:rPr>
            </w:pPr>
          </w:p>
        </w:tc>
      </w:tr>
      <w:tr w14:paraId="5CD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08E092">
            <w:pPr>
              <w:spacing w:line="380" w:lineRule="exact"/>
              <w:jc w:val="center"/>
              <w:rPr>
                <w:rFonts w:ascii="宋体" w:hAnsi="宋体"/>
                <w:b/>
                <w:bCs/>
                <w:color w:val="auto"/>
                <w:sz w:val="22"/>
                <w:szCs w:val="22"/>
                <w:highlight w:val="none"/>
              </w:rPr>
            </w:pPr>
          </w:p>
        </w:tc>
        <w:tc>
          <w:tcPr>
            <w:tcW w:w="2328" w:type="dxa"/>
            <w:vAlign w:val="center"/>
          </w:tcPr>
          <w:p w14:paraId="3B00165E">
            <w:pPr>
              <w:spacing w:line="380" w:lineRule="exact"/>
              <w:jc w:val="center"/>
              <w:rPr>
                <w:rFonts w:ascii="宋体" w:hAnsi="宋体"/>
                <w:b/>
                <w:bCs/>
                <w:color w:val="auto"/>
                <w:sz w:val="22"/>
                <w:szCs w:val="22"/>
                <w:highlight w:val="none"/>
              </w:rPr>
            </w:pPr>
          </w:p>
        </w:tc>
        <w:tc>
          <w:tcPr>
            <w:tcW w:w="1470" w:type="dxa"/>
            <w:vAlign w:val="center"/>
          </w:tcPr>
          <w:p w14:paraId="05F234E5">
            <w:pPr>
              <w:spacing w:line="380" w:lineRule="exact"/>
              <w:jc w:val="center"/>
              <w:rPr>
                <w:rFonts w:ascii="宋体" w:hAnsi="宋体"/>
                <w:b/>
                <w:bCs/>
                <w:color w:val="auto"/>
                <w:sz w:val="22"/>
                <w:szCs w:val="22"/>
                <w:highlight w:val="none"/>
              </w:rPr>
            </w:pPr>
          </w:p>
        </w:tc>
        <w:tc>
          <w:tcPr>
            <w:tcW w:w="931" w:type="dxa"/>
            <w:vAlign w:val="center"/>
          </w:tcPr>
          <w:p w14:paraId="73CD2EC5">
            <w:pPr>
              <w:spacing w:line="380" w:lineRule="exact"/>
              <w:jc w:val="center"/>
              <w:rPr>
                <w:rFonts w:ascii="宋体" w:hAnsi="宋体"/>
                <w:b/>
                <w:bCs/>
                <w:color w:val="auto"/>
                <w:sz w:val="22"/>
                <w:szCs w:val="22"/>
                <w:highlight w:val="none"/>
              </w:rPr>
            </w:pPr>
          </w:p>
        </w:tc>
        <w:tc>
          <w:tcPr>
            <w:tcW w:w="2340" w:type="dxa"/>
            <w:vAlign w:val="center"/>
          </w:tcPr>
          <w:p w14:paraId="3FC66CAE">
            <w:pPr>
              <w:spacing w:line="380" w:lineRule="exact"/>
              <w:jc w:val="center"/>
              <w:rPr>
                <w:rFonts w:ascii="宋体" w:hAnsi="宋体"/>
                <w:b/>
                <w:bCs/>
                <w:color w:val="auto"/>
                <w:sz w:val="22"/>
                <w:szCs w:val="22"/>
                <w:highlight w:val="none"/>
              </w:rPr>
            </w:pPr>
          </w:p>
        </w:tc>
        <w:tc>
          <w:tcPr>
            <w:tcW w:w="1570" w:type="dxa"/>
            <w:vAlign w:val="center"/>
          </w:tcPr>
          <w:p w14:paraId="7C93E11A">
            <w:pPr>
              <w:spacing w:line="380" w:lineRule="exact"/>
              <w:jc w:val="center"/>
              <w:rPr>
                <w:rFonts w:ascii="宋体" w:hAnsi="宋体"/>
                <w:b/>
                <w:bCs/>
                <w:color w:val="auto"/>
                <w:sz w:val="22"/>
                <w:szCs w:val="22"/>
                <w:highlight w:val="none"/>
              </w:rPr>
            </w:pPr>
          </w:p>
        </w:tc>
      </w:tr>
    </w:tbl>
    <w:p w14:paraId="708222E1">
      <w:pPr>
        <w:spacing w:line="440" w:lineRule="exact"/>
        <w:jc w:val="left"/>
        <w:rPr>
          <w:rFonts w:ascii="宋体" w:hAnsi="宋体"/>
          <w:b/>
          <w:bCs/>
          <w:color w:val="auto"/>
          <w:sz w:val="22"/>
          <w:szCs w:val="22"/>
          <w:highlight w:val="none"/>
        </w:rPr>
      </w:pPr>
      <w:r>
        <w:rPr>
          <w:rFonts w:hint="eastAsia" w:ascii="宋体" w:hAnsi="宋体"/>
          <w:b/>
          <w:bCs/>
          <w:color w:val="auto"/>
          <w:sz w:val="22"/>
          <w:szCs w:val="22"/>
          <w:highlight w:val="none"/>
        </w:rPr>
        <w:t>注：投标人可按以上表格形式进行复制、附在技术标内。</w:t>
      </w:r>
    </w:p>
    <w:p w14:paraId="2634C08E">
      <w:pPr>
        <w:spacing w:line="440" w:lineRule="exact"/>
        <w:jc w:val="left"/>
        <w:rPr>
          <w:rFonts w:ascii="宋体" w:hAnsi="宋体"/>
          <w:b/>
          <w:bCs/>
          <w:color w:val="auto"/>
          <w:sz w:val="22"/>
          <w:szCs w:val="22"/>
          <w:highlight w:val="none"/>
        </w:rPr>
      </w:pPr>
    </w:p>
    <w:p w14:paraId="3D02B06D">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41D36E86">
      <w:pPr>
        <w:spacing w:line="440" w:lineRule="exact"/>
        <w:ind w:firstLine="4180" w:firstLineChars="1900"/>
        <w:rPr>
          <w:rFonts w:ascii="宋体" w:hAnsi="宋体" w:cs="宋体"/>
          <w:color w:val="auto"/>
          <w:sz w:val="22"/>
          <w:szCs w:val="22"/>
          <w:highlight w:val="none"/>
        </w:rPr>
        <w:sectPr>
          <w:headerReference r:id="rId7" w:type="default"/>
          <w:headerReference r:id="rId8" w:type="even"/>
          <w:pgSz w:w="11906" w:h="16838"/>
          <w:pgMar w:top="1134" w:right="1134" w:bottom="1134" w:left="1134" w:header="851" w:footer="992" w:gutter="0"/>
          <w:cols w:space="720" w:num="1"/>
          <w:docGrid w:linePitch="312" w:charSpace="0"/>
        </w:sectPr>
      </w:pPr>
      <w:r>
        <w:rPr>
          <w:rFonts w:hint="eastAsia" w:ascii="宋体" w:hAnsi="宋体" w:cs="宋体"/>
          <w:color w:val="auto"/>
          <w:sz w:val="22"/>
          <w:szCs w:val="22"/>
          <w:highlight w:val="none"/>
        </w:rPr>
        <w:t>日期：     年    月    日</w:t>
      </w:r>
    </w:p>
    <w:p w14:paraId="0038EBE5">
      <w:pPr>
        <w:pStyle w:val="4"/>
        <w:spacing w:line="240" w:lineRule="auto"/>
        <w:rPr>
          <w:rFonts w:ascii="宋体" w:hAnsi="宋体" w:eastAsia="宋体" w:cs="宋体"/>
          <w:color w:val="auto"/>
          <w:sz w:val="24"/>
          <w:szCs w:val="24"/>
          <w:highlight w:val="none"/>
        </w:rPr>
      </w:pPr>
      <w:bookmarkStart w:id="81" w:name="_Toc21629"/>
      <w:bookmarkStart w:id="82" w:name="_Toc460707936"/>
      <w:bookmarkStart w:id="83" w:name="_Toc405195141"/>
      <w:r>
        <w:rPr>
          <w:rFonts w:hint="eastAsia" w:ascii="宋体" w:hAnsi="宋体" w:eastAsia="宋体" w:cs="宋体"/>
          <w:color w:val="auto"/>
          <w:sz w:val="24"/>
          <w:szCs w:val="24"/>
          <w:highlight w:val="none"/>
        </w:rPr>
        <w:t>附件七 同类项目业绩一览表</w:t>
      </w:r>
      <w:bookmarkEnd w:id="81"/>
      <w:bookmarkEnd w:id="82"/>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84" w:name="_Toc480204650"/>
      <w:bookmarkStart w:id="85" w:name="_Toc469730741"/>
      <w:bookmarkStart w:id="86" w:name="_Toc13603237"/>
      <w:bookmarkStart w:id="87" w:name="_Toc54034498"/>
      <w:bookmarkStart w:id="88" w:name="_Toc82417917"/>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057B8EC1">
      <w:pPr>
        <w:spacing w:line="440" w:lineRule="exact"/>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D598BDF">
      <w:pPr>
        <w:pStyle w:val="4"/>
        <w:spacing w:line="240" w:lineRule="auto"/>
        <w:rPr>
          <w:rFonts w:ascii="宋体" w:hAnsi="宋体" w:eastAsia="宋体"/>
          <w:color w:val="auto"/>
          <w:sz w:val="24"/>
          <w:szCs w:val="24"/>
          <w:highlight w:val="none"/>
        </w:rPr>
      </w:pPr>
      <w:bookmarkStart w:id="89" w:name="_Toc21927"/>
      <w:bookmarkStart w:id="90" w:name="_Toc524273184"/>
      <w:bookmarkStart w:id="91" w:name="_Toc6768"/>
      <w:bookmarkStart w:id="92" w:name="_Toc18629"/>
      <w:bookmarkStart w:id="93" w:name="_Toc40035657"/>
      <w:bookmarkStart w:id="94" w:name="_Toc10560"/>
      <w:bookmarkStart w:id="95" w:name="_Toc20385"/>
      <w:r>
        <w:rPr>
          <w:rFonts w:ascii="宋体" w:hAnsi="宋体" w:eastAsia="宋体"/>
          <w:color w:val="auto"/>
          <w:sz w:val="24"/>
          <w:szCs w:val="24"/>
          <w:highlight w:val="none"/>
        </w:rPr>
        <w:t>附件</w:t>
      </w:r>
      <w:r>
        <w:rPr>
          <w:rFonts w:hint="eastAsia" w:ascii="宋体" w:hAnsi="宋体" w:eastAsia="宋体"/>
          <w:color w:val="auto"/>
          <w:sz w:val="24"/>
          <w:szCs w:val="24"/>
          <w:highlight w:val="none"/>
        </w:rPr>
        <w:t>八 政府采购政策功能相关说明</w:t>
      </w:r>
      <w:bookmarkEnd w:id="89"/>
      <w:bookmarkEnd w:id="90"/>
      <w:bookmarkEnd w:id="91"/>
      <w:bookmarkEnd w:id="92"/>
      <w:bookmarkEnd w:id="93"/>
      <w:bookmarkEnd w:id="94"/>
      <w:bookmarkEnd w:id="95"/>
    </w:p>
    <w:p w14:paraId="46C08168">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1D41B7D9">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43475CA2">
      <w:pPr>
        <w:spacing w:line="440" w:lineRule="atLeast"/>
        <w:jc w:val="lef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35E3DC9F">
      <w:pPr>
        <w:spacing w:line="440" w:lineRule="atLeast"/>
        <w:jc w:val="left"/>
        <w:rPr>
          <w:rFonts w:hint="eastAsia" w:ascii="宋体" w:hAnsi="宋体"/>
          <w:color w:val="auto"/>
          <w:sz w:val="22"/>
          <w:highlight w:val="none"/>
        </w:rPr>
      </w:pPr>
      <w:r>
        <w:rPr>
          <w:rFonts w:hint="eastAsia" w:ascii="宋体" w:hAnsi="宋体"/>
          <w:color w:val="auto"/>
          <w:sz w:val="22"/>
          <w:highlight w:val="none"/>
        </w:rPr>
        <w:t>（2）《工业和信息化部、国家统计局、国家发展和改革委员会、财政部关于印发中小企业划型标准规定的通知》（工信部联企业[2011]300号）</w:t>
      </w:r>
    </w:p>
    <w:p w14:paraId="318536AC">
      <w:pPr>
        <w:spacing w:line="440" w:lineRule="atLeast"/>
        <w:jc w:val="left"/>
        <w:rPr>
          <w:rFonts w:hint="eastAsia" w:ascii="宋体" w:hAnsi="宋体"/>
          <w:color w:val="auto"/>
          <w:sz w:val="22"/>
          <w:highlight w:val="none"/>
        </w:rPr>
      </w:pPr>
      <w:r>
        <w:rPr>
          <w:rFonts w:hint="eastAsia" w:ascii="宋体" w:hAnsi="宋体"/>
          <w:color w:val="auto"/>
          <w:sz w:val="22"/>
          <w:highlight w:val="none"/>
        </w:rPr>
        <w:t>（3）财政部、司法部《关于政府采购支持监狱企业发展有关问题的通知》（财库〔2014〕68号）</w:t>
      </w:r>
    </w:p>
    <w:p w14:paraId="4686E262">
      <w:pPr>
        <w:spacing w:line="440" w:lineRule="atLeast"/>
        <w:jc w:val="left"/>
        <w:rPr>
          <w:rFonts w:hint="eastAsia" w:ascii="宋体" w:hAnsi="宋体"/>
          <w:color w:val="auto"/>
          <w:sz w:val="22"/>
          <w:highlight w:val="none"/>
        </w:rPr>
      </w:pPr>
      <w:r>
        <w:rPr>
          <w:rFonts w:hint="eastAsia" w:ascii="宋体" w:hAnsi="宋体"/>
          <w:color w:val="auto"/>
          <w:sz w:val="22"/>
          <w:highlight w:val="none"/>
        </w:rPr>
        <w:t>（4）《财政部 民政部 中国残疾人联合会关于促进残疾人就业政府采购政策的通知》（财库〔2017〕 141号）</w:t>
      </w:r>
    </w:p>
    <w:p w14:paraId="562DA8C6">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604CC71D">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0BA56552">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54F33686">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11ED7E6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B7ED7F7">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59DAF057">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08A082E6">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47A2381">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14:paraId="0A144C04">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1C150CBA">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18625AAC">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CD34830">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32577B06">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1D121786">
      <w:pPr>
        <w:pStyle w:val="17"/>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中小企业声明函（货物）</w:t>
      </w:r>
    </w:p>
    <w:p w14:paraId="18A1ED76">
      <w:pPr>
        <w:pStyle w:val="17"/>
        <w:spacing w:line="440" w:lineRule="exact"/>
        <w:rPr>
          <w:rFonts w:ascii="宋体" w:hAnsi="宋体"/>
          <w:b/>
          <w:color w:val="auto"/>
          <w:sz w:val="22"/>
          <w:szCs w:val="22"/>
          <w:highlight w:val="none"/>
        </w:rPr>
      </w:pPr>
    </w:p>
    <w:p w14:paraId="024F44CD">
      <w:pPr>
        <w:pStyle w:val="17"/>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14:paraId="5B28A3AA">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标的名称</w:t>
      </w:r>
      <w:r>
        <w:rPr>
          <w:rFonts w:ascii="宋体" w:hAnsi="宋体"/>
          <w:color w:val="auto"/>
          <w:sz w:val="22"/>
          <w:szCs w:val="22"/>
          <w:highlight w:val="none"/>
          <w:u w:val="single"/>
        </w:rPr>
        <w:t>）</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14:paraId="6E3B0369">
      <w:pPr>
        <w:pStyle w:val="17"/>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14:paraId="4A3FDA5A">
      <w:pPr>
        <w:pStyle w:val="17"/>
        <w:spacing w:line="480" w:lineRule="exact"/>
        <w:ind w:left="860"/>
        <w:rPr>
          <w:rFonts w:ascii="宋体" w:hAnsi="宋体"/>
          <w:color w:val="auto"/>
          <w:sz w:val="22"/>
          <w:szCs w:val="22"/>
          <w:highlight w:val="none"/>
        </w:rPr>
      </w:pPr>
      <w:r>
        <w:rPr>
          <w:rFonts w:ascii="宋体" w:hAnsi="宋体"/>
          <w:color w:val="auto"/>
          <w:sz w:val="22"/>
          <w:szCs w:val="22"/>
          <w:highlight w:val="none"/>
        </w:rPr>
        <w:t>……</w:t>
      </w:r>
    </w:p>
    <w:p w14:paraId="7DEBCD88">
      <w:pPr>
        <w:pStyle w:val="17"/>
        <w:spacing w:line="480" w:lineRule="exact"/>
        <w:ind w:left="860"/>
        <w:rPr>
          <w:rFonts w:ascii="宋体" w:hAnsi="宋体"/>
          <w:color w:val="auto"/>
          <w:sz w:val="22"/>
          <w:szCs w:val="22"/>
          <w:highlight w:val="none"/>
        </w:rPr>
      </w:pPr>
      <w:r>
        <w:rPr>
          <w:rFonts w:hint="eastAsia" w:ascii="宋体" w:hAnsi="宋体"/>
          <w:b/>
          <w:bCs/>
          <w:color w:val="auto"/>
          <w:sz w:val="22"/>
          <w:szCs w:val="22"/>
          <w:highlight w:val="none"/>
        </w:rPr>
        <w:t>注：（根据采购标的分别逐项列出）</w:t>
      </w:r>
    </w:p>
    <w:p w14:paraId="7D571AD0">
      <w:pPr>
        <w:pStyle w:val="17"/>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14:paraId="6279915B">
      <w:pPr>
        <w:pStyle w:val="17"/>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1C76BE3B">
      <w:pPr>
        <w:pStyle w:val="17"/>
        <w:spacing w:before="105" w:line="480" w:lineRule="exact"/>
        <w:ind w:right="417" w:firstLine="2860" w:firstLineChars="1300"/>
        <w:rPr>
          <w:rFonts w:ascii="宋体" w:hAnsi="宋体"/>
          <w:color w:val="auto"/>
          <w:sz w:val="22"/>
          <w:szCs w:val="22"/>
          <w:highlight w:val="none"/>
        </w:rPr>
      </w:pPr>
    </w:p>
    <w:p w14:paraId="7969B58C">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14:paraId="53E3204F">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14:paraId="361C0E04">
      <w:pPr>
        <w:spacing w:line="440" w:lineRule="exact"/>
        <w:rPr>
          <w:rFonts w:ascii="宋体" w:hAnsi="宋体"/>
          <w:color w:val="auto"/>
          <w:sz w:val="22"/>
          <w:szCs w:val="22"/>
          <w:highlight w:val="none"/>
        </w:rPr>
      </w:pPr>
    </w:p>
    <w:p w14:paraId="4780833F">
      <w:pPr>
        <w:spacing w:line="440" w:lineRule="exact"/>
        <w:rPr>
          <w:rFonts w:ascii="宋体" w:hAnsi="宋体"/>
          <w:color w:val="auto"/>
          <w:highlight w:val="none"/>
        </w:rPr>
      </w:pPr>
    </w:p>
    <w:p w14:paraId="39785171">
      <w:pPr>
        <w:spacing w:line="440" w:lineRule="exact"/>
        <w:rPr>
          <w:rFonts w:ascii="宋体" w:hAnsi="宋体"/>
          <w:color w:val="auto"/>
          <w:highlight w:val="none"/>
        </w:rPr>
      </w:pPr>
    </w:p>
    <w:p w14:paraId="1E2F7DDB">
      <w:pPr>
        <w:spacing w:line="440" w:lineRule="exact"/>
        <w:rPr>
          <w:rFonts w:ascii="宋体" w:hAnsi="宋体"/>
          <w:color w:val="auto"/>
          <w:highlight w:val="none"/>
        </w:rPr>
      </w:pPr>
    </w:p>
    <w:p w14:paraId="0146AEA6">
      <w:pPr>
        <w:spacing w:line="440" w:lineRule="exact"/>
        <w:rPr>
          <w:rFonts w:ascii="宋体" w:hAnsi="宋体"/>
          <w:color w:val="auto"/>
          <w:highlight w:val="none"/>
        </w:rPr>
      </w:pPr>
    </w:p>
    <w:p w14:paraId="465CC27F">
      <w:pPr>
        <w:spacing w:line="440" w:lineRule="exact"/>
        <w:rPr>
          <w:rFonts w:ascii="宋体" w:hAnsi="宋体"/>
          <w:color w:val="auto"/>
          <w:highlight w:val="none"/>
        </w:rPr>
      </w:pPr>
      <w:r>
        <w:rPr>
          <w:rFonts w:hint="eastAsia" w:ascii="宋体" w:hAnsi="宋体"/>
          <w:color w:val="auto"/>
          <w:highlight w:val="none"/>
        </w:rPr>
        <w:t>说明：</w:t>
      </w:r>
    </w:p>
    <w:p w14:paraId="765F248D">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5BC61E33">
      <w:pPr>
        <w:rPr>
          <w:rFonts w:ascii="宋体" w:hAnsi="宋体"/>
          <w:color w:val="auto"/>
          <w:highlight w:val="none"/>
        </w:rPr>
      </w:pPr>
      <w:r>
        <w:rPr>
          <w:rFonts w:hint="eastAsia" w:ascii="宋体" w:hAnsi="宋体"/>
          <w:color w:val="auto"/>
          <w:highlight w:val="none"/>
        </w:rPr>
        <w:br w:type="page"/>
      </w:r>
    </w:p>
    <w:p w14:paraId="14D2A5FA">
      <w:pPr>
        <w:spacing w:line="440" w:lineRule="exact"/>
        <w:rPr>
          <w:rFonts w:ascii="宋体" w:hAnsi="宋体"/>
          <w:color w:val="auto"/>
          <w:sz w:val="22"/>
          <w:highlight w:val="none"/>
        </w:rPr>
      </w:pPr>
      <w:r>
        <w:rPr>
          <w:rFonts w:hint="eastAsia" w:ascii="宋体" w:hAnsi="宋体"/>
          <w:color w:val="auto"/>
          <w:sz w:val="22"/>
          <w:highlight w:val="none"/>
        </w:rPr>
        <w:t>附件2：</w:t>
      </w:r>
    </w:p>
    <w:p w14:paraId="4BEF956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22706BB">
      <w:pPr>
        <w:spacing w:line="588" w:lineRule="exact"/>
        <w:rPr>
          <w:rFonts w:ascii="新宋体" w:hAnsi="新宋体" w:eastAsia="新宋体"/>
          <w:b/>
          <w:color w:val="auto"/>
          <w:spacing w:val="6"/>
          <w:sz w:val="30"/>
          <w:szCs w:val="30"/>
          <w:highlight w:val="none"/>
        </w:rPr>
      </w:pPr>
    </w:p>
    <w:p w14:paraId="43C05D03">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19727142">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3D24F55C">
      <w:pPr>
        <w:spacing w:line="588" w:lineRule="exact"/>
        <w:ind w:firstLine="440" w:firstLineChars="200"/>
        <w:rPr>
          <w:rFonts w:ascii="宋体" w:hAnsi="宋体" w:cs="宋体"/>
          <w:color w:val="auto"/>
          <w:sz w:val="22"/>
          <w:szCs w:val="22"/>
          <w:highlight w:val="none"/>
        </w:rPr>
      </w:pPr>
    </w:p>
    <w:p w14:paraId="0C07D984">
      <w:pPr>
        <w:spacing w:line="588" w:lineRule="exact"/>
        <w:ind w:firstLine="440" w:firstLineChars="200"/>
        <w:rPr>
          <w:rFonts w:ascii="宋体" w:hAnsi="宋体" w:cs="宋体"/>
          <w:color w:val="auto"/>
          <w:sz w:val="22"/>
          <w:szCs w:val="22"/>
          <w:highlight w:val="none"/>
        </w:rPr>
      </w:pPr>
    </w:p>
    <w:p w14:paraId="0019793D">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02346B2E">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1B18CFF0">
      <w:pPr>
        <w:pStyle w:val="17"/>
        <w:rPr>
          <w:color w:val="auto"/>
          <w:highlight w:val="none"/>
        </w:rPr>
      </w:pPr>
    </w:p>
    <w:p w14:paraId="675842EA">
      <w:pPr>
        <w:pStyle w:val="17"/>
        <w:rPr>
          <w:color w:val="auto"/>
          <w:highlight w:val="none"/>
        </w:rPr>
      </w:pPr>
    </w:p>
    <w:p w14:paraId="1AA882E1">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592B100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460B043D">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0CB7B9EE">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（2）节能、环保产品优先（强制）采购政策说明</w:t>
      </w:r>
    </w:p>
    <w:p w14:paraId="2D49FF2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1、政策依据</w:t>
      </w:r>
    </w:p>
    <w:p w14:paraId="14CAD4D0">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w:t>
      </w:r>
      <w:r>
        <w:rPr>
          <w:rFonts w:hint="eastAsia" w:ascii="宋体" w:hAnsi="宋体" w:cs="宋体"/>
          <w:color w:val="auto"/>
          <w:sz w:val="22"/>
          <w:szCs w:val="22"/>
          <w:highlight w:val="none"/>
          <w:lang w:eastAsia="zh-CN"/>
        </w:rPr>
        <w:t>〔2007〕51号</w:t>
      </w:r>
      <w:r>
        <w:rPr>
          <w:rFonts w:hint="eastAsia" w:ascii="宋体" w:hAnsi="宋体" w:cs="宋体"/>
          <w:color w:val="auto"/>
          <w:sz w:val="22"/>
          <w:szCs w:val="22"/>
          <w:highlight w:val="none"/>
        </w:rPr>
        <w:t>)</w:t>
      </w:r>
    </w:p>
    <w:p w14:paraId="2EC94D8E">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（二）关于调整优化节能产品、环境标志产品政府采购执行机制的通知（财库〔2019〕9号）</w:t>
      </w:r>
    </w:p>
    <w:p w14:paraId="1B0C372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（三）关于印发环境标志产品政府采购品目清单的通知（财库〔2019〕18号）</w:t>
      </w:r>
    </w:p>
    <w:p w14:paraId="0B28AD39">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（四）关于印发节能产品政府采购品目清单的通知（财库〔2019〕19号）</w:t>
      </w:r>
    </w:p>
    <w:p w14:paraId="0BDCA41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（五）市场监管总局关于发布参与实施政府采购节能产品、环境标志产品认证机构名录的公告（2019年第16号）</w:t>
      </w:r>
    </w:p>
    <w:p w14:paraId="4D79BA9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14:paraId="53F1E43C">
      <w:pPr>
        <w:pStyle w:val="17"/>
        <w:rPr>
          <w:color w:val="auto"/>
          <w:highlight w:val="none"/>
        </w:rPr>
      </w:pPr>
    </w:p>
    <w:p w14:paraId="2CCC435A">
      <w:pPr>
        <w:spacing w:line="380" w:lineRule="exact"/>
        <w:jc w:val="left"/>
        <w:rPr>
          <w:rFonts w:ascii="宋体" w:hAnsi="宋体"/>
          <w:color w:val="auto"/>
          <w:sz w:val="22"/>
          <w:highlight w:val="none"/>
        </w:rPr>
      </w:pPr>
      <w:r>
        <w:rPr>
          <w:color w:val="auto"/>
          <w:highlight w:val="none"/>
        </w:rPr>
        <w:br w:type="page"/>
      </w:r>
      <w:r>
        <w:rPr>
          <w:rFonts w:hint="eastAsia" w:ascii="宋体" w:hAnsi="宋体"/>
          <w:color w:val="auto"/>
          <w:sz w:val="22"/>
          <w:highlight w:val="none"/>
        </w:rPr>
        <w:t>附件2：</w:t>
      </w:r>
    </w:p>
    <w:p w14:paraId="16E6944F">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节能环保产品声明函</w:t>
      </w:r>
    </w:p>
    <w:p w14:paraId="28ADE501">
      <w:pPr>
        <w:autoSpaceDE w:val="0"/>
        <w:autoSpaceDN w:val="0"/>
        <w:adjustRightInd w:val="0"/>
        <w:spacing w:line="460" w:lineRule="atLeast"/>
        <w:jc w:val="center"/>
        <w:rPr>
          <w:rFonts w:ascii="宋体" w:hAnsi="宋体"/>
          <w:color w:val="auto"/>
          <w:sz w:val="36"/>
          <w:szCs w:val="20"/>
          <w:highlight w:val="none"/>
          <w:lang w:val="zh-CN"/>
        </w:rPr>
      </w:pPr>
      <w:r>
        <w:rPr>
          <w:rFonts w:hint="eastAsia" w:ascii="宋体" w:hAnsi="宋体"/>
          <w:color w:val="auto"/>
          <w:sz w:val="22"/>
          <w:highlight w:val="none"/>
        </w:rPr>
        <w:t>（如有则提供）</w:t>
      </w:r>
    </w:p>
    <w:p w14:paraId="3422B7C7">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highlight w:val="none"/>
        </w:rPr>
        <w:t>2019〕9号）</w:t>
      </w:r>
      <w:r>
        <w:rPr>
          <w:rFonts w:hint="eastAsia" w:ascii="宋体" w:hAnsi="宋体"/>
          <w:color w:val="auto"/>
          <w:sz w:val="22"/>
          <w:highlight w:val="none"/>
        </w:rPr>
        <w:t>、《关于印发节能产品政府采购品目清单的通知》（财库〔</w:t>
      </w:r>
      <w:r>
        <w:rPr>
          <w:rFonts w:ascii="宋体" w:hAnsi="宋体"/>
          <w:color w:val="auto"/>
          <w:sz w:val="22"/>
          <w:highlight w:val="none"/>
        </w:rPr>
        <w:t>2019〕19号）</w:t>
      </w:r>
      <w:r>
        <w:rPr>
          <w:rFonts w:hint="eastAsia" w:ascii="宋体" w:hAnsi="宋体"/>
          <w:color w:val="auto"/>
          <w:sz w:val="22"/>
          <w:highlight w:val="none"/>
        </w:rPr>
        <w:t>、《关于印发环境标志产品政府采购品目清单的通知》（财库〔</w:t>
      </w:r>
      <w:r>
        <w:rPr>
          <w:rFonts w:ascii="宋体" w:hAnsi="宋体"/>
          <w:color w:val="auto"/>
          <w:sz w:val="22"/>
          <w:highlight w:val="none"/>
        </w:rPr>
        <w:t>2019〕18号）</w:t>
      </w:r>
      <w:r>
        <w:rPr>
          <w:rFonts w:hint="eastAsia" w:ascii="宋体" w:hAnsi="宋体"/>
          <w:color w:val="auto"/>
          <w:sz w:val="22"/>
          <w:highlight w:val="none"/>
        </w:rPr>
        <w:t>的规定，本公司声明如下：</w:t>
      </w:r>
    </w:p>
    <w:p w14:paraId="7C569AAA">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1.本公司参加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的采购活动提供的产品已列入《节能产品政府采购品目清单》。</w:t>
      </w:r>
    </w:p>
    <w:p w14:paraId="694071ED">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2.本公司参加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的采购活动提供的产品已列入《环境标志产品政府采购品目清单》。</w:t>
      </w:r>
    </w:p>
    <w:p w14:paraId="7811EA2B">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本公司对上述声明的真实性负责。如有虚假，将依法承担相应法律责任。</w:t>
      </w:r>
    </w:p>
    <w:p w14:paraId="708D3953">
      <w:pPr>
        <w:spacing w:line="460" w:lineRule="atLeast"/>
        <w:rPr>
          <w:rFonts w:ascii="宋体" w:hAnsi="宋体"/>
          <w:color w:val="auto"/>
          <w:sz w:val="22"/>
          <w:highlight w:val="none"/>
        </w:rPr>
      </w:pPr>
    </w:p>
    <w:p w14:paraId="474CAD51">
      <w:pPr>
        <w:pStyle w:val="17"/>
        <w:rPr>
          <w:color w:val="auto"/>
          <w:highlight w:val="none"/>
        </w:rPr>
      </w:pPr>
    </w:p>
    <w:p w14:paraId="66B5743C">
      <w:pPr>
        <w:autoSpaceDE w:val="0"/>
        <w:autoSpaceDN w:val="0"/>
        <w:adjustRightInd w:val="0"/>
        <w:spacing w:line="460" w:lineRule="atLeast"/>
        <w:rPr>
          <w:rFonts w:ascii="宋体" w:hAnsi="宋体" w:cs="Arial"/>
          <w:color w:val="auto"/>
          <w:sz w:val="22"/>
          <w:szCs w:val="20"/>
          <w:highlight w:val="none"/>
          <w:lang w:val="zh-CN"/>
        </w:rPr>
      </w:pPr>
      <w:r>
        <w:rPr>
          <w:rFonts w:hint="eastAsia" w:ascii="宋体" w:hAnsi="宋体" w:cs="Arial"/>
          <w:color w:val="auto"/>
          <w:sz w:val="22"/>
          <w:szCs w:val="20"/>
          <w:highlight w:val="none"/>
        </w:rPr>
        <w:t>投标人</w:t>
      </w:r>
      <w:r>
        <w:rPr>
          <w:rFonts w:hint="eastAsia" w:ascii="宋体" w:hAnsi="宋体" w:cs="Arial"/>
          <w:color w:val="auto"/>
          <w:sz w:val="22"/>
          <w:szCs w:val="20"/>
          <w:highlight w:val="none"/>
          <w:lang w:val="zh-CN"/>
        </w:rPr>
        <w:t xml:space="preserve">盖章：        </w:t>
      </w:r>
    </w:p>
    <w:p w14:paraId="50BDB77A">
      <w:pPr>
        <w:spacing w:line="460" w:lineRule="atLeast"/>
        <w:rPr>
          <w:rFonts w:ascii="宋体" w:hAnsi="宋体"/>
          <w:color w:val="auto"/>
          <w:sz w:val="28"/>
          <w:szCs w:val="28"/>
          <w:highlight w:val="none"/>
        </w:rPr>
      </w:pPr>
      <w:r>
        <w:rPr>
          <w:rFonts w:hint="eastAsia" w:ascii="宋体" w:hAnsi="宋体"/>
          <w:color w:val="auto"/>
          <w:sz w:val="22"/>
          <w:highlight w:val="none"/>
        </w:rPr>
        <w:t xml:space="preserve">日 期：                  </w:t>
      </w:r>
    </w:p>
    <w:p w14:paraId="0007055D">
      <w:pPr>
        <w:spacing w:line="380" w:lineRule="exact"/>
        <w:jc w:val="left"/>
        <w:rPr>
          <w:rFonts w:ascii="宋体" w:hAnsi="宋体"/>
          <w:color w:val="auto"/>
          <w:sz w:val="22"/>
          <w:highlight w:val="none"/>
        </w:rPr>
      </w:pPr>
      <w:r>
        <w:rPr>
          <w:rFonts w:ascii="宋体" w:hAnsi="宋体"/>
          <w:color w:val="auto"/>
          <w:sz w:val="28"/>
          <w:szCs w:val="28"/>
          <w:highlight w:val="none"/>
        </w:rPr>
        <w:br w:type="page"/>
      </w:r>
      <w:r>
        <w:rPr>
          <w:rFonts w:hint="eastAsia" w:ascii="宋体" w:hAnsi="宋体"/>
          <w:color w:val="auto"/>
          <w:sz w:val="22"/>
          <w:highlight w:val="none"/>
        </w:rPr>
        <w:t>附件</w:t>
      </w:r>
      <w:r>
        <w:rPr>
          <w:rFonts w:ascii="宋体" w:hAnsi="宋体"/>
          <w:color w:val="auto"/>
          <w:sz w:val="22"/>
          <w:highlight w:val="none"/>
        </w:rPr>
        <w:t>2</w:t>
      </w:r>
      <w:r>
        <w:rPr>
          <w:rFonts w:hint="eastAsia" w:ascii="宋体" w:hAnsi="宋体"/>
          <w:color w:val="auto"/>
          <w:sz w:val="22"/>
          <w:highlight w:val="none"/>
        </w:rPr>
        <w:t>：</w:t>
      </w:r>
    </w:p>
    <w:p w14:paraId="37DE4D9D">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节能（环保）产品清单</w:t>
      </w:r>
    </w:p>
    <w:p w14:paraId="5D01F7D0">
      <w:pPr>
        <w:autoSpaceDE w:val="0"/>
        <w:autoSpaceDN w:val="0"/>
        <w:adjustRightInd w:val="0"/>
        <w:spacing w:line="460" w:lineRule="atLeast"/>
        <w:jc w:val="center"/>
        <w:rPr>
          <w:rFonts w:ascii="宋体" w:hAnsi="宋体"/>
          <w:color w:val="auto"/>
          <w:sz w:val="22"/>
          <w:highlight w:val="none"/>
        </w:rPr>
      </w:pPr>
      <w:r>
        <w:rPr>
          <w:rFonts w:hint="eastAsia" w:ascii="宋体" w:hAnsi="宋体"/>
          <w:color w:val="auto"/>
          <w:sz w:val="22"/>
          <w:highlight w:val="none"/>
        </w:rPr>
        <w:t>（如有则提供）</w:t>
      </w:r>
    </w:p>
    <w:p w14:paraId="0B1B92BE">
      <w:pPr>
        <w:pStyle w:val="17"/>
        <w:rPr>
          <w:color w:val="auto"/>
          <w:highlight w:val="none"/>
        </w:rPr>
      </w:pPr>
    </w:p>
    <w:p w14:paraId="7AEBF269">
      <w:pPr>
        <w:rPr>
          <w:rFonts w:ascii="宋体" w:hAnsi="宋体"/>
          <w:color w:val="auto"/>
          <w:sz w:val="22"/>
          <w:highlight w:val="none"/>
        </w:rPr>
      </w:pPr>
      <w:r>
        <w:rPr>
          <w:rFonts w:hint="eastAsia" w:ascii="宋体" w:hAnsi="宋体"/>
          <w:color w:val="auto"/>
          <w:sz w:val="22"/>
          <w:highlight w:val="none"/>
        </w:rPr>
        <w:t>（1）所投产品中已列入《节能产品政府采购品目清单》明细</w:t>
      </w:r>
    </w:p>
    <w:tbl>
      <w:tblPr>
        <w:tblStyle w:val="38"/>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300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C2F211D">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243D5C0">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CED1DAA">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061AF54F">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AB192F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666E00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5F7C5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896F5A3">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1C0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D9A7116">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06D96BC">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5CAB48B0">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B77CFF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563F0AD">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D1F928A">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446B54E9">
            <w:pPr>
              <w:spacing w:line="460" w:lineRule="exact"/>
              <w:rPr>
                <w:rFonts w:ascii="宋体" w:hAnsi="宋体"/>
                <w:color w:val="auto"/>
                <w:sz w:val="22"/>
                <w:szCs w:val="20"/>
                <w:highlight w:val="none"/>
              </w:rPr>
            </w:pPr>
          </w:p>
        </w:tc>
      </w:tr>
      <w:tr w14:paraId="552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34368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DFB0A8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0BAA5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594E3B7">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C1CAE6E">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40AA5C7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6B4B6D94">
            <w:pPr>
              <w:spacing w:line="460" w:lineRule="exact"/>
              <w:rPr>
                <w:rFonts w:ascii="宋体" w:hAnsi="宋体"/>
                <w:color w:val="auto"/>
                <w:sz w:val="22"/>
                <w:szCs w:val="20"/>
                <w:highlight w:val="none"/>
              </w:rPr>
            </w:pPr>
          </w:p>
        </w:tc>
      </w:tr>
      <w:tr w14:paraId="525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F7CF99">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29E26955">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99AA905">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ABFAC6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464ADE0F">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EFAB789">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2B191446">
            <w:pPr>
              <w:spacing w:line="460" w:lineRule="exact"/>
              <w:rPr>
                <w:rFonts w:ascii="宋体" w:hAnsi="宋体"/>
                <w:color w:val="auto"/>
                <w:sz w:val="22"/>
                <w:szCs w:val="20"/>
                <w:highlight w:val="none"/>
              </w:rPr>
            </w:pPr>
          </w:p>
        </w:tc>
      </w:tr>
      <w:tr w14:paraId="1CFB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8DBC251">
            <w:pPr>
              <w:spacing w:line="460" w:lineRule="exact"/>
              <w:rPr>
                <w:rFonts w:ascii="宋体" w:hAnsi="宋体"/>
                <w:color w:val="auto"/>
                <w:sz w:val="22"/>
                <w:szCs w:val="20"/>
                <w:highlight w:val="none"/>
              </w:rPr>
            </w:pPr>
          </w:p>
          <w:p w14:paraId="39B1B82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6BDA8F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65D195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44E6C7D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3383DFA2">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E0C8ED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5E5CF402">
            <w:pPr>
              <w:spacing w:line="460" w:lineRule="exact"/>
              <w:rPr>
                <w:rFonts w:ascii="宋体" w:hAnsi="宋体"/>
                <w:color w:val="auto"/>
                <w:sz w:val="22"/>
                <w:szCs w:val="20"/>
                <w:highlight w:val="none"/>
              </w:rPr>
            </w:pPr>
          </w:p>
        </w:tc>
      </w:tr>
    </w:tbl>
    <w:p w14:paraId="4C0FF88F">
      <w:pPr>
        <w:spacing w:line="460" w:lineRule="exact"/>
        <w:rPr>
          <w:rFonts w:ascii="宋体" w:hAnsi="宋体"/>
          <w:color w:val="auto"/>
          <w:sz w:val="22"/>
          <w:highlight w:val="none"/>
        </w:rPr>
      </w:pPr>
      <w:r>
        <w:rPr>
          <w:rFonts w:hint="eastAsia" w:ascii="宋体" w:hAnsi="宋体"/>
          <w:color w:val="auto"/>
          <w:sz w:val="22"/>
          <w:highlight w:val="none"/>
        </w:rPr>
        <w:t>（2）所投产品中已列入《环境标志产品政府采购品目清单》明细</w:t>
      </w:r>
    </w:p>
    <w:tbl>
      <w:tblPr>
        <w:tblStyle w:val="38"/>
        <w:tblW w:w="96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A3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6AADC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387BCB">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68EBA601">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66E7AA5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57B1B7E">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1E6D314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B430A49">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BBD4BCE">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672B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73EEAF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52B3790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36688DA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E367E7A">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026CE77">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1A32121">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0C201453">
            <w:pPr>
              <w:spacing w:line="460" w:lineRule="exact"/>
              <w:rPr>
                <w:rFonts w:ascii="宋体" w:hAnsi="宋体"/>
                <w:color w:val="auto"/>
                <w:sz w:val="22"/>
                <w:szCs w:val="20"/>
                <w:highlight w:val="none"/>
              </w:rPr>
            </w:pPr>
          </w:p>
        </w:tc>
      </w:tr>
      <w:tr w14:paraId="2CC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3654FAA">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6D7F1FF0">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1AF872B">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9EB3C9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06ED3794">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6E5E8D7B">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19158B26">
            <w:pPr>
              <w:spacing w:line="460" w:lineRule="exact"/>
              <w:rPr>
                <w:rFonts w:ascii="宋体" w:hAnsi="宋体"/>
                <w:color w:val="auto"/>
                <w:sz w:val="22"/>
                <w:szCs w:val="20"/>
                <w:highlight w:val="none"/>
              </w:rPr>
            </w:pPr>
          </w:p>
        </w:tc>
      </w:tr>
      <w:tr w14:paraId="65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508D88">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075039F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B49C4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7BE9288B">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43A15A8">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3D98D083">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4AE2EA17">
            <w:pPr>
              <w:spacing w:line="460" w:lineRule="exact"/>
              <w:rPr>
                <w:rFonts w:ascii="宋体" w:hAnsi="宋体"/>
                <w:color w:val="auto"/>
                <w:sz w:val="22"/>
                <w:szCs w:val="20"/>
                <w:highlight w:val="none"/>
              </w:rPr>
            </w:pPr>
          </w:p>
        </w:tc>
      </w:tr>
      <w:tr w14:paraId="4DD9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027C0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19AC8192">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F980D43">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306EE60">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6774D39">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115FBF1D">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3235D5E0">
            <w:pPr>
              <w:spacing w:line="460" w:lineRule="exact"/>
              <w:rPr>
                <w:rFonts w:ascii="宋体" w:hAnsi="宋体"/>
                <w:color w:val="auto"/>
                <w:sz w:val="22"/>
                <w:szCs w:val="20"/>
                <w:highlight w:val="none"/>
              </w:rPr>
            </w:pPr>
          </w:p>
        </w:tc>
      </w:tr>
    </w:tbl>
    <w:p w14:paraId="3716DE1B">
      <w:pPr>
        <w:spacing w:line="460" w:lineRule="exact"/>
        <w:rPr>
          <w:rFonts w:ascii="宋体" w:hAnsi="宋体"/>
          <w:b/>
          <w:color w:val="auto"/>
          <w:sz w:val="22"/>
          <w:highlight w:val="none"/>
        </w:rPr>
      </w:pPr>
      <w:r>
        <w:rPr>
          <w:rFonts w:hint="eastAsia" w:ascii="宋体" w:hAnsi="宋体"/>
          <w:b/>
          <w:color w:val="auto"/>
          <w:sz w:val="22"/>
          <w:highlight w:val="none"/>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highlight w:val="none"/>
        </w:rPr>
        <w:t>2019〕19号）</w:t>
      </w:r>
      <w:r>
        <w:rPr>
          <w:rFonts w:hint="eastAsia" w:ascii="宋体" w:hAnsi="宋体" w:cs="Arial"/>
          <w:b/>
          <w:color w:val="auto"/>
          <w:sz w:val="22"/>
          <w:highlight w:val="none"/>
        </w:rPr>
        <w:t>。</w:t>
      </w:r>
      <w:r>
        <w:rPr>
          <w:rFonts w:hint="eastAsia" w:ascii="宋体" w:hAnsi="宋体" w:cs="Arial"/>
          <w:b/>
          <w:color w:val="auto"/>
          <w:sz w:val="22"/>
          <w:szCs w:val="20"/>
          <w:highlight w:val="none"/>
        </w:rPr>
        <w:t>响应文件中必须提供</w:t>
      </w:r>
      <w:r>
        <w:rPr>
          <w:rFonts w:ascii="宋体" w:hAnsi="宋体"/>
          <w:b/>
          <w:color w:val="auto"/>
          <w:sz w:val="22"/>
          <w:highlight w:val="none"/>
        </w:rPr>
        <w:t>属于政府强制采购的节能产品</w:t>
      </w:r>
      <w:r>
        <w:rPr>
          <w:rFonts w:hint="eastAsia" w:ascii="宋体" w:hAnsi="宋体" w:cs="Arial"/>
          <w:b/>
          <w:color w:val="auto"/>
          <w:sz w:val="22"/>
          <w:szCs w:val="20"/>
          <w:highlight w:val="none"/>
        </w:rPr>
        <w:t>的认证证书复印件或扫描件，否则不予认可。</w:t>
      </w:r>
    </w:p>
    <w:p w14:paraId="2ACEF34B">
      <w:pPr>
        <w:spacing w:line="460" w:lineRule="exact"/>
        <w:rPr>
          <w:rFonts w:ascii="宋体" w:hAnsi="宋体"/>
          <w:b/>
          <w:color w:val="auto"/>
          <w:sz w:val="22"/>
          <w:highlight w:val="none"/>
        </w:rPr>
      </w:pPr>
      <w:r>
        <w:rPr>
          <w:rFonts w:hint="eastAsia" w:ascii="宋体" w:hAnsi="宋体"/>
          <w:b/>
          <w:color w:val="auto"/>
          <w:sz w:val="22"/>
          <w:highlight w:val="none"/>
        </w:rPr>
        <w:t>2、表格可以延续。</w:t>
      </w:r>
    </w:p>
    <w:p w14:paraId="7FD4DDEA">
      <w:pPr>
        <w:pStyle w:val="17"/>
        <w:rPr>
          <w:color w:val="auto"/>
          <w:highlight w:val="none"/>
        </w:rPr>
      </w:pPr>
    </w:p>
    <w:p w14:paraId="3E5961C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供应商名称（盖章）：        </w:t>
      </w:r>
    </w:p>
    <w:p w14:paraId="4CECA84F">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28DA98D9">
      <w:pPr>
        <w:rPr>
          <w:rFonts w:ascii="宋体" w:hAnsi="宋体" w:cs="宋体"/>
          <w:b/>
          <w:color w:val="auto"/>
          <w:sz w:val="24"/>
          <w:highlight w:val="none"/>
        </w:rPr>
      </w:pPr>
    </w:p>
    <w:p w14:paraId="7E1244FE">
      <w:pPr>
        <w:rPr>
          <w:rFonts w:ascii="宋体" w:hAnsi="宋体" w:cs="宋体"/>
          <w:color w:val="auto"/>
          <w:sz w:val="22"/>
          <w:szCs w:val="22"/>
          <w:highlight w:val="none"/>
        </w:rPr>
      </w:pPr>
    </w:p>
    <w:bookmarkEnd w:id="78"/>
    <w:bookmarkEnd w:id="83"/>
    <w:bookmarkEnd w:id="84"/>
    <w:bookmarkEnd w:id="85"/>
    <w:bookmarkEnd w:id="86"/>
    <w:bookmarkEnd w:id="87"/>
    <w:bookmarkEnd w:id="88"/>
    <w:p w14:paraId="3EFBD331">
      <w:pPr>
        <w:pStyle w:val="3"/>
        <w:spacing w:line="600" w:lineRule="exact"/>
        <w:jc w:val="center"/>
        <w:rPr>
          <w:rFonts w:ascii="黑体" w:hAnsi="黑体" w:eastAsia="黑体"/>
          <w:bCs/>
          <w:color w:val="auto"/>
          <w:sz w:val="36"/>
          <w:szCs w:val="36"/>
          <w:highlight w:val="none"/>
        </w:rPr>
      </w:pPr>
      <w:bookmarkStart w:id="96" w:name="_Toc26822"/>
      <w:bookmarkStart w:id="97" w:name="_Toc230773793"/>
      <w:r>
        <w:rPr>
          <w:rFonts w:hint="eastAsia" w:ascii="黑体" w:hAnsi="黑体" w:eastAsia="黑体"/>
          <w:bCs/>
          <w:color w:val="auto"/>
          <w:sz w:val="36"/>
          <w:szCs w:val="36"/>
          <w:highlight w:val="none"/>
        </w:rPr>
        <w:t>第五部分  招标内容及要求</w:t>
      </w:r>
      <w:bookmarkEnd w:id="96"/>
      <w:bookmarkEnd w:id="97"/>
    </w:p>
    <w:p w14:paraId="5F052980">
      <w:pPr>
        <w:pStyle w:val="4"/>
        <w:spacing w:line="680" w:lineRule="exact"/>
        <w:jc w:val="center"/>
        <w:rPr>
          <w:rFonts w:ascii="宋体" w:hAnsi="宋体" w:eastAsia="宋体"/>
          <w:color w:val="auto"/>
          <w:sz w:val="28"/>
          <w:szCs w:val="28"/>
          <w:highlight w:val="none"/>
        </w:rPr>
      </w:pPr>
      <w:bookmarkStart w:id="98" w:name="_Toc498696426"/>
      <w:bookmarkStart w:id="99" w:name="_Toc524273187"/>
      <w:bookmarkStart w:id="100" w:name="_Toc28612"/>
      <w:bookmarkStart w:id="101" w:name="_Toc1124"/>
      <w:bookmarkStart w:id="102" w:name="_Toc23734"/>
      <w:bookmarkStart w:id="103" w:name="_Toc23272"/>
      <w:bookmarkStart w:id="104" w:name="_Toc230773795"/>
      <w:r>
        <w:rPr>
          <w:rFonts w:hint="eastAsia" w:ascii="宋体" w:hAnsi="宋体" w:eastAsia="宋体"/>
          <w:color w:val="auto"/>
          <w:sz w:val="28"/>
          <w:szCs w:val="28"/>
          <w:highlight w:val="none"/>
        </w:rPr>
        <w:t>一、</w:t>
      </w:r>
      <w:bookmarkEnd w:id="98"/>
      <w:r>
        <w:rPr>
          <w:rFonts w:hint="eastAsia" w:ascii="宋体" w:hAnsi="宋体" w:eastAsia="宋体"/>
          <w:color w:val="auto"/>
          <w:sz w:val="28"/>
          <w:szCs w:val="28"/>
          <w:highlight w:val="none"/>
        </w:rPr>
        <w:t>相关说明</w:t>
      </w:r>
      <w:bookmarkEnd w:id="99"/>
      <w:bookmarkEnd w:id="100"/>
      <w:bookmarkEnd w:id="101"/>
      <w:bookmarkEnd w:id="102"/>
    </w:p>
    <w:bookmarkEnd w:id="103"/>
    <w:p w14:paraId="612EE003">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14:paraId="77238658">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2.   </w:t>
      </w:r>
      <w:r>
        <w:rPr>
          <w:rFonts w:hint="eastAsia" w:ascii="宋体" w:hAnsi="宋体"/>
          <w:bCs/>
          <w:color w:val="auto"/>
          <w:sz w:val="22"/>
          <w:szCs w:val="22"/>
          <w:highlight w:val="none"/>
        </w:rPr>
        <w:t>投标人</w:t>
      </w:r>
      <w:r>
        <w:rPr>
          <w:rFonts w:hint="eastAsia" w:ascii="宋体" w:hAnsi="宋体"/>
          <w:color w:val="auto"/>
          <w:sz w:val="22"/>
          <w:szCs w:val="22"/>
          <w:highlight w:val="none"/>
        </w:rPr>
        <w:t>须完成货物的生产、运输、安装、整合调试，直至验收合格交付使用前的所有工作。在此过程中发生的一切费用均由中标人提供，各投标人应对本招标文件未列出但完成本项目所必须的其他材料一一列出，并详细注明报价等情况，如未列出，则视为已包含在总价内，由投标人免费提供。</w:t>
      </w:r>
    </w:p>
    <w:p w14:paraId="537038E9">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对于低于原厂商对外公布的基本（标准）配置进行报价的产品，无论招标文件对此有无明确规定，供应商都必须在投标文件中对低于基本（标准）配置的内容作出明确说明。</w:t>
      </w:r>
    </w:p>
    <w:p w14:paraId="299978EB">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   主要技术参数及要求中所列的参数仅仅为主要部分，投标人有义务完成所投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的详细技术参数描述。否则，一旦出现所投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在技术、功能上存在缺陷，采购人将否决其投标。</w:t>
      </w:r>
    </w:p>
    <w:p w14:paraId="26EF8CF0">
      <w:pPr>
        <w:spacing w:line="440" w:lineRule="exact"/>
        <w:ind w:left="539" w:hanging="539" w:hangingChars="245"/>
        <w:rPr>
          <w:rFonts w:ascii="宋体" w:hAnsi="宋体" w:cs="宋体"/>
          <w:b/>
          <w:color w:val="auto"/>
          <w:sz w:val="22"/>
          <w:szCs w:val="22"/>
          <w:highlight w:val="none"/>
        </w:rPr>
      </w:pPr>
      <w:r>
        <w:rPr>
          <w:rFonts w:hint="eastAsia" w:ascii="宋体" w:hAnsi="宋体" w:cs="宋体"/>
          <w:color w:val="auto"/>
          <w:sz w:val="22"/>
          <w:szCs w:val="22"/>
          <w:highlight w:val="none"/>
          <w:lang w:val="en-US" w:eastAsia="zh-CN"/>
        </w:rPr>
        <w:t>5</w:t>
      </w:r>
      <w:r>
        <w:rPr>
          <w:rFonts w:ascii="宋体" w:hAnsi="宋体" w:cs="宋体"/>
          <w:color w:val="auto"/>
          <w:sz w:val="22"/>
          <w:szCs w:val="22"/>
          <w:highlight w:val="none"/>
        </w:rPr>
        <w:t>.</w:t>
      </w: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u w:val="single"/>
        </w:rPr>
        <w:t>本项目采购预算为人民币</w:t>
      </w:r>
      <w:r>
        <w:rPr>
          <w:rFonts w:hint="eastAsia" w:ascii="宋体" w:hAnsi="宋体" w:cs="宋体"/>
          <w:b/>
          <w:bCs/>
          <w:color w:val="auto"/>
          <w:sz w:val="22"/>
          <w:szCs w:val="22"/>
          <w:highlight w:val="none"/>
          <w:u w:val="single"/>
          <w:lang w:val="en-US" w:eastAsia="zh-CN"/>
        </w:rPr>
        <w:t>叁拾柒万伍仟</w:t>
      </w:r>
      <w:r>
        <w:rPr>
          <w:rFonts w:hint="eastAsia" w:ascii="宋体" w:hAnsi="宋体" w:cs="宋体"/>
          <w:b/>
          <w:bCs/>
          <w:color w:val="auto"/>
          <w:sz w:val="22"/>
          <w:szCs w:val="22"/>
          <w:highlight w:val="none"/>
          <w:u w:val="single"/>
        </w:rPr>
        <w:t>元整（￥</w:t>
      </w:r>
      <w:r>
        <w:rPr>
          <w:rFonts w:hint="eastAsia" w:ascii="宋体" w:hAnsi="宋体" w:cs="宋体"/>
          <w:b/>
          <w:bCs/>
          <w:color w:val="auto"/>
          <w:sz w:val="22"/>
          <w:szCs w:val="22"/>
          <w:highlight w:val="none"/>
          <w:u w:val="single"/>
          <w:lang w:eastAsia="zh-CN"/>
        </w:rPr>
        <w:t>375000</w:t>
      </w:r>
      <w:r>
        <w:rPr>
          <w:rFonts w:hint="eastAsia" w:ascii="宋体" w:hAnsi="宋体" w:cs="宋体"/>
          <w:b/>
          <w:bCs/>
          <w:color w:val="auto"/>
          <w:sz w:val="22"/>
          <w:szCs w:val="22"/>
          <w:highlight w:val="none"/>
          <w:u w:val="single"/>
        </w:rPr>
        <w:t>.00元），投标人最后报价超过预算的，按无效</w:t>
      </w:r>
      <w:r>
        <w:rPr>
          <w:rFonts w:hint="eastAsia" w:ascii="宋体" w:hAnsi="宋体" w:cs="宋体"/>
          <w:b/>
          <w:color w:val="auto"/>
          <w:sz w:val="22"/>
          <w:szCs w:val="22"/>
          <w:highlight w:val="none"/>
          <w:u w:val="single"/>
        </w:rPr>
        <w:t>标处理</w:t>
      </w:r>
      <w:r>
        <w:rPr>
          <w:rFonts w:hint="eastAsia" w:ascii="宋体" w:hAnsi="宋体" w:cs="宋体"/>
          <w:b/>
          <w:color w:val="auto"/>
          <w:sz w:val="22"/>
          <w:szCs w:val="22"/>
          <w:highlight w:val="none"/>
        </w:rPr>
        <w:t>。</w:t>
      </w:r>
    </w:p>
    <w:p w14:paraId="5DAB9199">
      <w:pPr>
        <w:pStyle w:val="4"/>
        <w:spacing w:line="680" w:lineRule="exact"/>
        <w:jc w:val="center"/>
        <w:rPr>
          <w:rFonts w:ascii="黑体" w:hAnsi="黑体" w:cs="黑体"/>
          <w:color w:val="auto"/>
          <w:sz w:val="28"/>
          <w:szCs w:val="28"/>
          <w:highlight w:val="none"/>
        </w:rPr>
      </w:pPr>
      <w:bookmarkStart w:id="105" w:name="_Toc10267"/>
      <w:bookmarkStart w:id="106" w:name="_Toc25987"/>
      <w:bookmarkStart w:id="107" w:name="_Toc56694061"/>
      <w:bookmarkStart w:id="108" w:name="_Toc5385"/>
      <w:bookmarkStart w:id="109" w:name="_Toc9343395"/>
      <w:r>
        <w:rPr>
          <w:rFonts w:hint="eastAsia" w:ascii="黑体" w:hAnsi="黑体" w:cs="黑体"/>
          <w:color w:val="auto"/>
          <w:sz w:val="28"/>
          <w:szCs w:val="28"/>
          <w:highlight w:val="none"/>
        </w:rPr>
        <w:t>二、采购内容及要求</w:t>
      </w:r>
      <w:bookmarkEnd w:id="105"/>
      <w:bookmarkEnd w:id="106"/>
      <w:bookmarkEnd w:id="107"/>
      <w:bookmarkEnd w:id="108"/>
    </w:p>
    <w:p w14:paraId="458966BF">
      <w:pPr>
        <w:pStyle w:val="17"/>
        <w:spacing w:after="0" w:line="440" w:lineRule="exact"/>
        <w:rPr>
          <w:rFonts w:ascii="宋体" w:hAnsi="宋体" w:cs="宋体"/>
          <w:b/>
          <w:bCs/>
          <w:color w:val="auto"/>
          <w:sz w:val="22"/>
          <w:szCs w:val="28"/>
          <w:highlight w:val="none"/>
        </w:rPr>
      </w:pPr>
      <w:r>
        <w:rPr>
          <w:rFonts w:hint="eastAsia" w:ascii="宋体" w:hAnsi="宋体" w:cs="宋体"/>
          <w:b/>
          <w:bCs/>
          <w:color w:val="auto"/>
          <w:sz w:val="22"/>
          <w:szCs w:val="28"/>
          <w:highlight w:val="none"/>
        </w:rPr>
        <w:t>1.  采购内容</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1486"/>
        <w:gridCol w:w="1317"/>
        <w:gridCol w:w="1815"/>
        <w:gridCol w:w="1423"/>
        <w:gridCol w:w="1579"/>
        <w:gridCol w:w="1657"/>
      </w:tblGrid>
      <w:tr w14:paraId="0408B3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87" w:hRule="atLeast"/>
        </w:trPr>
        <w:tc>
          <w:tcPr>
            <w:tcW w:w="287" w:type="pct"/>
            <w:tcBorders>
              <w:top w:val="single" w:color="auto" w:sz="12" w:space="0"/>
              <w:left w:val="single" w:color="auto" w:sz="12" w:space="0"/>
              <w:bottom w:val="single" w:color="auto" w:sz="4" w:space="0"/>
              <w:right w:val="single" w:color="auto" w:sz="4" w:space="0"/>
            </w:tcBorders>
            <w:noWrap w:val="0"/>
            <w:vAlign w:val="center"/>
          </w:tcPr>
          <w:p w14:paraId="46E0850B">
            <w:pPr>
              <w:spacing w:line="460" w:lineRule="exact"/>
              <w:jc w:val="center"/>
              <w:rPr>
                <w:rFonts w:ascii="Times New Roman" w:hAnsi="Times New Roman" w:eastAsia="新宋体"/>
                <w:b/>
                <w:bCs/>
                <w:caps/>
                <w:color w:val="auto"/>
                <w:sz w:val="22"/>
                <w:szCs w:val="22"/>
                <w:highlight w:val="none"/>
              </w:rPr>
            </w:pPr>
            <w:r>
              <w:rPr>
                <w:rFonts w:ascii="Times New Roman" w:hAnsi="Times New Roman" w:eastAsia="新宋体"/>
                <w:b/>
                <w:bCs/>
                <w:caps/>
                <w:color w:val="auto"/>
                <w:sz w:val="22"/>
                <w:szCs w:val="22"/>
                <w:highlight w:val="none"/>
              </w:rPr>
              <w:t>序号</w:t>
            </w:r>
          </w:p>
        </w:tc>
        <w:tc>
          <w:tcPr>
            <w:tcW w:w="755" w:type="pct"/>
            <w:tcBorders>
              <w:top w:val="single" w:color="auto" w:sz="12" w:space="0"/>
              <w:left w:val="single" w:color="auto" w:sz="4" w:space="0"/>
              <w:bottom w:val="single" w:color="auto" w:sz="4" w:space="0"/>
              <w:right w:val="single" w:color="auto" w:sz="4" w:space="0"/>
            </w:tcBorders>
            <w:noWrap w:val="0"/>
            <w:vAlign w:val="center"/>
          </w:tcPr>
          <w:p w14:paraId="0C12AE3A">
            <w:pPr>
              <w:spacing w:line="460" w:lineRule="exact"/>
              <w:jc w:val="center"/>
              <w:rPr>
                <w:rFonts w:ascii="Times New Roman" w:hAnsi="Times New Roman" w:eastAsia="新宋体"/>
                <w:b/>
                <w:bCs/>
                <w:caps/>
                <w:color w:val="auto"/>
                <w:sz w:val="22"/>
                <w:szCs w:val="22"/>
                <w:highlight w:val="none"/>
              </w:rPr>
            </w:pPr>
            <w:r>
              <w:rPr>
                <w:rFonts w:hint="eastAsia" w:eastAsia="新宋体"/>
                <w:b/>
                <w:bCs/>
                <w:caps/>
                <w:color w:val="auto"/>
                <w:sz w:val="22"/>
                <w:szCs w:val="22"/>
                <w:highlight w:val="none"/>
                <w:lang w:val="en-US" w:eastAsia="zh-CN"/>
              </w:rPr>
              <w:t>标的</w:t>
            </w:r>
            <w:r>
              <w:rPr>
                <w:rFonts w:ascii="Times New Roman" w:hAnsi="Times New Roman" w:eastAsia="新宋体"/>
                <w:b/>
                <w:bCs/>
                <w:caps/>
                <w:color w:val="auto"/>
                <w:sz w:val="22"/>
                <w:szCs w:val="22"/>
                <w:highlight w:val="none"/>
              </w:rPr>
              <w:t>名称</w:t>
            </w:r>
          </w:p>
        </w:tc>
        <w:tc>
          <w:tcPr>
            <w:tcW w:w="669" w:type="pct"/>
            <w:tcBorders>
              <w:top w:val="single" w:color="auto" w:sz="12" w:space="0"/>
              <w:left w:val="single" w:color="auto" w:sz="4" w:space="0"/>
              <w:bottom w:val="single" w:color="auto" w:sz="4" w:space="0"/>
              <w:right w:val="single" w:color="auto" w:sz="4" w:space="0"/>
            </w:tcBorders>
            <w:noWrap w:val="0"/>
            <w:vAlign w:val="center"/>
          </w:tcPr>
          <w:p w14:paraId="133D1010">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标的</w:t>
            </w:r>
            <w:r>
              <w:rPr>
                <w:rFonts w:hint="eastAsia" w:ascii="新宋体" w:hAnsi="新宋体" w:eastAsia="新宋体" w:cs="新宋体"/>
                <w:b/>
                <w:bCs/>
                <w:color w:val="auto"/>
                <w:kern w:val="0"/>
                <w:sz w:val="22"/>
                <w:szCs w:val="22"/>
                <w:highlight w:val="none"/>
              </w:rPr>
              <w:t>内容</w:t>
            </w:r>
          </w:p>
        </w:tc>
        <w:tc>
          <w:tcPr>
            <w:tcW w:w="922" w:type="pct"/>
            <w:tcBorders>
              <w:top w:val="single" w:color="auto" w:sz="12" w:space="0"/>
              <w:left w:val="single" w:color="auto" w:sz="4" w:space="0"/>
              <w:bottom w:val="single" w:color="auto" w:sz="4" w:space="0"/>
              <w:right w:val="single" w:color="auto" w:sz="4" w:space="0"/>
            </w:tcBorders>
            <w:noWrap w:val="0"/>
            <w:vAlign w:val="center"/>
          </w:tcPr>
          <w:p w14:paraId="628B7E19">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预算金额</w:t>
            </w:r>
          </w:p>
        </w:tc>
        <w:tc>
          <w:tcPr>
            <w:tcW w:w="723" w:type="pct"/>
            <w:tcBorders>
              <w:top w:val="single" w:color="auto" w:sz="12" w:space="0"/>
              <w:left w:val="single" w:color="auto" w:sz="4" w:space="0"/>
              <w:bottom w:val="single" w:color="auto" w:sz="4" w:space="0"/>
              <w:right w:val="single" w:color="auto" w:sz="4" w:space="0"/>
            </w:tcBorders>
            <w:noWrap w:val="0"/>
            <w:vAlign w:val="center"/>
          </w:tcPr>
          <w:p w14:paraId="18470974">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预估数量</w:t>
            </w:r>
          </w:p>
        </w:tc>
        <w:tc>
          <w:tcPr>
            <w:tcW w:w="802" w:type="pct"/>
            <w:tcBorders>
              <w:top w:val="single" w:color="auto" w:sz="12" w:space="0"/>
              <w:left w:val="single" w:color="auto" w:sz="4" w:space="0"/>
              <w:bottom w:val="single" w:color="auto" w:sz="4" w:space="0"/>
              <w:right w:val="single" w:color="auto" w:sz="4" w:space="0"/>
            </w:tcBorders>
            <w:noWrap w:val="0"/>
            <w:vAlign w:val="center"/>
          </w:tcPr>
          <w:p w14:paraId="4932B9CB">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最高单价限价</w:t>
            </w:r>
          </w:p>
        </w:tc>
        <w:tc>
          <w:tcPr>
            <w:tcW w:w="837" w:type="pct"/>
            <w:tcBorders>
              <w:top w:val="single" w:color="auto" w:sz="12" w:space="0"/>
              <w:left w:val="single" w:color="auto" w:sz="4" w:space="0"/>
              <w:bottom w:val="single" w:color="auto" w:sz="4" w:space="0"/>
              <w:right w:val="single" w:color="auto" w:sz="12" w:space="0"/>
            </w:tcBorders>
            <w:noWrap w:val="0"/>
            <w:vAlign w:val="center"/>
          </w:tcPr>
          <w:p w14:paraId="4B74BA77">
            <w:pPr>
              <w:spacing w:line="460" w:lineRule="exact"/>
              <w:jc w:val="center"/>
              <w:rPr>
                <w:rFonts w:hint="eastAsia" w:eastAsia="新宋体"/>
                <w:b/>
                <w:bCs/>
                <w:caps/>
                <w:color w:val="auto"/>
                <w:sz w:val="22"/>
                <w:szCs w:val="22"/>
                <w:highlight w:val="none"/>
                <w:lang w:val="en-US" w:eastAsia="zh-CN"/>
              </w:rPr>
            </w:pPr>
            <w:r>
              <w:rPr>
                <w:rFonts w:hint="eastAsia" w:eastAsia="新宋体"/>
                <w:b/>
                <w:bCs/>
                <w:caps/>
                <w:color w:val="auto"/>
                <w:sz w:val="22"/>
                <w:szCs w:val="22"/>
                <w:highlight w:val="none"/>
                <w:lang w:val="en-US" w:eastAsia="zh-CN"/>
              </w:rPr>
              <w:t>备注</w:t>
            </w:r>
          </w:p>
        </w:tc>
      </w:tr>
      <w:tr w14:paraId="62993E5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358" w:hRule="atLeast"/>
        </w:trPr>
        <w:tc>
          <w:tcPr>
            <w:tcW w:w="287" w:type="pct"/>
            <w:vMerge w:val="restart"/>
            <w:tcBorders>
              <w:top w:val="single" w:color="auto" w:sz="4" w:space="0"/>
              <w:left w:val="single" w:color="auto" w:sz="12" w:space="0"/>
              <w:bottom w:val="single" w:color="auto" w:sz="4" w:space="0"/>
              <w:right w:val="single" w:color="auto" w:sz="4" w:space="0"/>
            </w:tcBorders>
            <w:noWrap w:val="0"/>
            <w:vAlign w:val="center"/>
          </w:tcPr>
          <w:p w14:paraId="0D4743DB">
            <w:pPr>
              <w:spacing w:line="460" w:lineRule="exact"/>
              <w:jc w:val="center"/>
              <w:rPr>
                <w:rFonts w:ascii="Times New Roman" w:hAnsi="Times New Roman" w:eastAsia="新宋体"/>
                <w:caps/>
                <w:color w:val="auto"/>
                <w:sz w:val="22"/>
                <w:szCs w:val="22"/>
                <w:highlight w:val="none"/>
              </w:rPr>
            </w:pPr>
            <w:r>
              <w:rPr>
                <w:rFonts w:ascii="Times New Roman" w:hAnsi="Times New Roman" w:eastAsia="新宋体"/>
                <w:caps/>
                <w:color w:val="auto"/>
                <w:sz w:val="22"/>
                <w:szCs w:val="22"/>
                <w:highlight w:val="none"/>
              </w:rPr>
              <w:t>1</w:t>
            </w:r>
          </w:p>
        </w:tc>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42C6D37C">
            <w:pPr>
              <w:spacing w:line="460" w:lineRule="exact"/>
              <w:jc w:val="center"/>
              <w:rPr>
                <w:rFonts w:hint="eastAsia" w:ascii="Times New Roman" w:hAnsi="Times New Roman" w:eastAsia="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穴位调控刺激仪耗材采购及配套设备租赁</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2C34B21">
            <w:pPr>
              <w:widowControl/>
              <w:snapToGrid w:val="0"/>
              <w:spacing w:line="460" w:lineRule="exact"/>
              <w:jc w:val="center"/>
              <w:rPr>
                <w:rFonts w:hint="eastAsia" w:ascii="Times New Roman" w:hAnsi="Times New Roman" w:eastAsia="新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1F4B3B88">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37.2万元/年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72790129">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62000片</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6EABCC6A">
            <w:pPr>
              <w:shd w:val="clear" w:color="auto" w:fill="FFFFFF"/>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val="en-US" w:eastAsia="zh-CN"/>
              </w:rPr>
              <w:t>6元/片</w:t>
            </w:r>
          </w:p>
        </w:tc>
        <w:tc>
          <w:tcPr>
            <w:tcW w:w="837" w:type="pct"/>
            <w:vMerge w:val="restart"/>
            <w:tcBorders>
              <w:top w:val="single" w:color="auto" w:sz="4" w:space="0"/>
              <w:left w:val="single" w:color="auto" w:sz="4" w:space="0"/>
              <w:bottom w:val="single" w:color="auto" w:sz="4" w:space="0"/>
              <w:right w:val="single" w:color="auto" w:sz="12" w:space="0"/>
            </w:tcBorders>
            <w:noWrap w:val="0"/>
            <w:vAlign w:val="center"/>
          </w:tcPr>
          <w:p w14:paraId="50D93C89">
            <w:pPr>
              <w:pStyle w:val="3"/>
              <w:rPr>
                <w:rFonts w:hint="eastAsia" w:ascii="宋体" w:hAnsi="宋体" w:eastAsia="新宋体" w:cs="宋体"/>
                <w:i w:val="0"/>
                <w:iCs w:val="0"/>
                <w:caps w:val="0"/>
                <w:color w:val="auto"/>
                <w:spacing w:val="0"/>
                <w:sz w:val="22"/>
                <w:szCs w:val="22"/>
                <w:highlight w:val="none"/>
                <w:shd w:val="clear" w:color="auto" w:fill="FFFFFF"/>
                <w:lang w:val="en-US" w:eastAsia="zh-CN"/>
              </w:rPr>
            </w:pPr>
            <w:bookmarkStart w:id="110" w:name="_Toc31220"/>
            <w:r>
              <w:rPr>
                <w:rFonts w:hint="eastAsia" w:ascii="新宋体" w:hAnsi="新宋体" w:eastAsia="新宋体" w:cs="新宋体"/>
                <w:color w:val="auto"/>
                <w:sz w:val="22"/>
                <w:szCs w:val="22"/>
                <w:highlight w:val="none"/>
              </w:rPr>
              <w:t>服务时间：为合同签订且设备验收合格后一年，或</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期内该项目耗材采购金额达到</w:t>
            </w:r>
            <w:r>
              <w:rPr>
                <w:rFonts w:hint="eastAsia" w:ascii="新宋体" w:hAnsi="新宋体" w:eastAsia="新宋体" w:cs="新宋体"/>
                <w:color w:val="auto"/>
                <w:sz w:val="22"/>
                <w:szCs w:val="22"/>
                <w:highlight w:val="none"/>
                <w:lang w:eastAsia="zh-CN"/>
              </w:rPr>
              <w:t>预算</w:t>
            </w:r>
            <w:r>
              <w:rPr>
                <w:rFonts w:hint="eastAsia" w:ascii="新宋体" w:hAnsi="新宋体" w:eastAsia="新宋体" w:cs="新宋体"/>
                <w:color w:val="auto"/>
                <w:sz w:val="22"/>
                <w:szCs w:val="22"/>
                <w:highlight w:val="none"/>
                <w:lang w:val="en-US" w:eastAsia="zh-CN"/>
              </w:rPr>
              <w:t>金额</w:t>
            </w:r>
            <w:r>
              <w:rPr>
                <w:rFonts w:hint="eastAsia" w:ascii="新宋体" w:hAnsi="新宋体" w:eastAsia="新宋体" w:cs="新宋体"/>
                <w:color w:val="auto"/>
                <w:sz w:val="22"/>
                <w:szCs w:val="22"/>
                <w:highlight w:val="none"/>
              </w:rPr>
              <w:t>也视为</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期结束</w:t>
            </w:r>
            <w:r>
              <w:rPr>
                <w:rFonts w:hint="eastAsia" w:ascii="新宋体" w:hAnsi="新宋体" w:eastAsia="新宋体" w:cs="新宋体"/>
                <w:color w:val="auto"/>
                <w:sz w:val="22"/>
                <w:szCs w:val="22"/>
                <w:highlight w:val="none"/>
                <w:lang w:eastAsia="zh-CN"/>
              </w:rPr>
              <w:t>。</w:t>
            </w:r>
            <w:bookmarkEnd w:id="110"/>
          </w:p>
        </w:tc>
      </w:tr>
      <w:tr w14:paraId="7CB343E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79" w:hRule="atLeast"/>
        </w:trPr>
        <w:tc>
          <w:tcPr>
            <w:tcW w:w="287" w:type="pct"/>
            <w:vMerge w:val="continue"/>
            <w:tcBorders>
              <w:top w:val="single" w:color="auto" w:sz="4" w:space="0"/>
              <w:left w:val="single" w:color="auto" w:sz="12" w:space="0"/>
              <w:bottom w:val="single" w:color="auto" w:sz="4" w:space="0"/>
              <w:right w:val="single" w:color="auto" w:sz="4" w:space="0"/>
            </w:tcBorders>
            <w:noWrap w:val="0"/>
            <w:vAlign w:val="center"/>
          </w:tcPr>
          <w:p w14:paraId="02C739B5">
            <w:pPr>
              <w:spacing w:line="460" w:lineRule="exact"/>
              <w:jc w:val="center"/>
              <w:rPr>
                <w:rFonts w:ascii="Times New Roman" w:hAnsi="Times New Roman" w:eastAsia="新宋体"/>
                <w:color w:val="auto"/>
                <w:sz w:val="22"/>
                <w:szCs w:val="22"/>
                <w:highlight w:val="none"/>
              </w:rPr>
            </w:pPr>
          </w:p>
        </w:tc>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0D784244">
            <w:pPr>
              <w:spacing w:line="460" w:lineRule="exact"/>
              <w:jc w:val="center"/>
              <w:rPr>
                <w:rFonts w:ascii="Times New Roman" w:hAnsi="Times New Roman" w:eastAsia="新宋体"/>
                <w:color w:val="auto"/>
                <w:sz w:val="22"/>
                <w:szCs w:val="22"/>
                <w:highlight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1C4F393F">
            <w:pPr>
              <w:widowControl/>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eastAsia="zh-CN"/>
              </w:rPr>
              <w:t>配套设备租赁</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3B90D1F3">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0.3万元/年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7C03C74">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15台</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0E3BA8C6">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200元/台/年</w:t>
            </w:r>
          </w:p>
        </w:tc>
        <w:tc>
          <w:tcPr>
            <w:tcW w:w="837" w:type="pct"/>
            <w:vMerge w:val="continue"/>
            <w:tcBorders>
              <w:top w:val="single" w:color="auto" w:sz="4" w:space="0"/>
              <w:left w:val="single" w:color="auto" w:sz="4" w:space="0"/>
              <w:bottom w:val="single" w:color="auto" w:sz="4" w:space="0"/>
              <w:right w:val="single" w:color="auto" w:sz="12" w:space="0"/>
            </w:tcBorders>
            <w:noWrap w:val="0"/>
            <w:vAlign w:val="center"/>
          </w:tcPr>
          <w:p w14:paraId="6151D160">
            <w:pPr>
              <w:spacing w:line="460" w:lineRule="exact"/>
              <w:jc w:val="center"/>
              <w:rPr>
                <w:rFonts w:ascii="Times New Roman" w:hAnsi="Times New Roman" w:eastAsia="新宋体"/>
                <w:color w:val="auto"/>
                <w:sz w:val="22"/>
                <w:szCs w:val="22"/>
                <w:highlight w:val="none"/>
              </w:rPr>
            </w:pPr>
          </w:p>
        </w:tc>
      </w:tr>
      <w:tr w14:paraId="136D3A4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5000" w:type="pct"/>
            <w:gridSpan w:val="7"/>
            <w:tcBorders>
              <w:top w:val="single" w:color="auto" w:sz="4" w:space="0"/>
              <w:left w:val="single" w:color="auto" w:sz="12" w:space="0"/>
              <w:bottom w:val="single" w:color="auto" w:sz="4" w:space="0"/>
              <w:right w:val="single" w:color="auto" w:sz="12" w:space="0"/>
            </w:tcBorders>
            <w:noWrap w:val="0"/>
            <w:vAlign w:val="center"/>
          </w:tcPr>
          <w:p w14:paraId="02770B9E">
            <w:pPr>
              <w:tabs>
                <w:tab w:val="left" w:pos="360"/>
              </w:tabs>
              <w:spacing w:line="460" w:lineRule="exact"/>
              <w:rPr>
                <w:rFonts w:hint="eastAsia" w:ascii="Times New Roman" w:hAnsi="Times New Roman" w:eastAsia="新宋体"/>
                <w:color w:val="auto"/>
                <w:sz w:val="22"/>
                <w:szCs w:val="22"/>
                <w:highlight w:val="none"/>
                <w:lang w:eastAsia="zh-CN"/>
              </w:rPr>
            </w:pP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u w:val="single"/>
              </w:rPr>
              <w:t>如投标人报价</w:t>
            </w:r>
            <w:r>
              <w:rPr>
                <w:rFonts w:hint="eastAsia" w:ascii="新宋体" w:hAnsi="新宋体" w:eastAsia="新宋体" w:cs="新宋体"/>
                <w:b/>
                <w:color w:val="auto"/>
                <w:sz w:val="22"/>
                <w:szCs w:val="22"/>
                <w:highlight w:val="none"/>
                <w:u w:val="single"/>
                <w:lang w:val="en-US" w:eastAsia="zh-CN"/>
              </w:rPr>
              <w:t>某分项</w:t>
            </w:r>
            <w:r>
              <w:rPr>
                <w:rFonts w:hint="eastAsia" w:ascii="新宋体" w:hAnsi="新宋体" w:eastAsia="新宋体" w:cs="新宋体"/>
                <w:b/>
                <w:color w:val="auto"/>
                <w:sz w:val="22"/>
                <w:szCs w:val="22"/>
                <w:highlight w:val="none"/>
                <w:u w:val="single"/>
              </w:rPr>
              <w:t>超过预算按无效标处理</w:t>
            </w:r>
            <w:r>
              <w:rPr>
                <w:rFonts w:hint="eastAsia" w:ascii="新宋体" w:hAnsi="新宋体" w:eastAsia="新宋体" w:cs="新宋体"/>
                <w:b/>
                <w:color w:val="auto"/>
                <w:sz w:val="22"/>
                <w:szCs w:val="22"/>
                <w:highlight w:val="none"/>
                <w:u w:val="single"/>
                <w:lang w:eastAsia="zh-CN"/>
              </w:rPr>
              <w:t>。</w:t>
            </w:r>
          </w:p>
        </w:tc>
      </w:tr>
    </w:tbl>
    <w:p w14:paraId="30F1D63F">
      <w:pPr>
        <w:pStyle w:val="17"/>
        <w:spacing w:after="0"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2.  </w:t>
      </w:r>
      <w:r>
        <w:rPr>
          <w:rFonts w:hint="eastAsia" w:ascii="宋体" w:hAnsi="宋体" w:cs="宋体"/>
          <w:b/>
          <w:bCs/>
          <w:color w:val="auto"/>
          <w:sz w:val="22"/>
          <w:szCs w:val="22"/>
          <w:highlight w:val="none"/>
          <w:lang w:val="en-US" w:eastAsia="zh-CN"/>
        </w:rPr>
        <w:t>租赁设备</w:t>
      </w:r>
      <w:r>
        <w:rPr>
          <w:rFonts w:hint="eastAsia" w:ascii="宋体" w:hAnsi="宋体" w:cs="宋体"/>
          <w:b/>
          <w:bCs/>
          <w:color w:val="auto"/>
          <w:sz w:val="22"/>
          <w:szCs w:val="22"/>
          <w:highlight w:val="none"/>
        </w:rPr>
        <w:t>技术参数及要求</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78"/>
        <w:gridCol w:w="8772"/>
      </w:tblGrid>
      <w:tr w14:paraId="2CBB9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7" w:type="pct"/>
            <w:noWrap w:val="0"/>
            <w:vAlign w:val="center"/>
          </w:tcPr>
          <w:p w14:paraId="05DE82C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4452" w:type="pct"/>
            <w:noWrap w:val="0"/>
            <w:vAlign w:val="center"/>
          </w:tcPr>
          <w:p w14:paraId="4E0071D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技术参数</w:t>
            </w:r>
          </w:p>
        </w:tc>
      </w:tr>
      <w:tr w14:paraId="3182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0CAFBD1">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1.1</w:t>
            </w:r>
          </w:p>
        </w:tc>
        <w:tc>
          <w:tcPr>
            <w:tcW w:w="4452" w:type="pct"/>
            <w:noWrap w:val="0"/>
            <w:vAlign w:val="center"/>
          </w:tcPr>
          <w:p w14:paraId="71F85000">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设备</w:t>
            </w:r>
            <w:r>
              <w:rPr>
                <w:rFonts w:hint="eastAsia" w:ascii="新宋体" w:hAnsi="新宋体" w:eastAsia="新宋体" w:cs="新宋体"/>
                <w:color w:val="auto"/>
                <w:sz w:val="22"/>
                <w:szCs w:val="22"/>
                <w:highlight w:val="none"/>
                <w:lang w:eastAsia="zh-CN"/>
              </w:rPr>
              <w:t>适用范围</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适用于经络穴位进行刺激。</w:t>
            </w:r>
            <w:r>
              <w:rPr>
                <w:rFonts w:hint="eastAsia" w:ascii="新宋体" w:hAnsi="新宋体" w:eastAsia="新宋体" w:cs="新宋体"/>
                <w:bCs/>
                <w:color w:val="auto"/>
                <w:sz w:val="22"/>
                <w:szCs w:val="22"/>
                <w:highlight w:val="none"/>
                <w:lang w:eastAsia="zh-CN"/>
              </w:rPr>
              <w:t>（提供</w:t>
            </w:r>
            <w:r>
              <w:rPr>
                <w:rFonts w:hint="eastAsia" w:ascii="宋体" w:hAnsi="宋体" w:eastAsia="宋体" w:cs="宋体"/>
                <w:color w:val="auto"/>
                <w:sz w:val="22"/>
                <w:szCs w:val="22"/>
                <w:highlight w:val="none"/>
                <w:lang w:val="en-US" w:eastAsia="zh-CN"/>
              </w:rPr>
              <w:t>注册证或者产品技术要求</w:t>
            </w:r>
            <w:r>
              <w:rPr>
                <w:rFonts w:hint="eastAsia" w:ascii="新宋体" w:hAnsi="新宋体" w:eastAsia="新宋体" w:cs="新宋体"/>
                <w:color w:val="auto"/>
                <w:sz w:val="22"/>
                <w:szCs w:val="22"/>
                <w:highlight w:val="none"/>
                <w:lang w:val="en-US" w:eastAsia="zh-CN"/>
              </w:rPr>
              <w:t>证明文件</w:t>
            </w:r>
            <w:r>
              <w:rPr>
                <w:rFonts w:hint="eastAsia" w:ascii="新宋体" w:hAnsi="新宋体" w:eastAsia="新宋体" w:cs="新宋体"/>
                <w:bCs/>
                <w:color w:val="auto"/>
                <w:sz w:val="22"/>
                <w:szCs w:val="22"/>
                <w:highlight w:val="none"/>
                <w:lang w:eastAsia="zh-CN"/>
              </w:rPr>
              <w:t>）</w:t>
            </w:r>
          </w:p>
        </w:tc>
      </w:tr>
      <w:tr w14:paraId="26E77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E1CD3EB">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4452" w:type="pct"/>
            <w:noWrap w:val="0"/>
            <w:vAlign w:val="center"/>
          </w:tcPr>
          <w:p w14:paraId="2D986D4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设备数量</w:t>
            </w:r>
            <w:r>
              <w:rPr>
                <w:rStyle w:val="205"/>
                <w:rFonts w:hint="eastAsia" w:ascii="新宋体" w:hAnsi="新宋体" w:eastAsia="新宋体" w:cs="新宋体"/>
                <w:b w:val="0"/>
                <w:bCs/>
                <w:color w:val="auto"/>
                <w:sz w:val="22"/>
                <w:szCs w:val="22"/>
                <w:highlight w:val="none"/>
              </w:rPr>
              <w:t>（租赁方式）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15台</w:t>
            </w:r>
          </w:p>
        </w:tc>
      </w:tr>
      <w:tr w14:paraId="0566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1EB31AE">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1.3</w:t>
            </w:r>
          </w:p>
        </w:tc>
        <w:tc>
          <w:tcPr>
            <w:tcW w:w="4452" w:type="pct"/>
            <w:noWrap w:val="0"/>
            <w:vAlign w:val="center"/>
          </w:tcPr>
          <w:p w14:paraId="07447C48">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bCs/>
                <w:color w:val="auto"/>
                <w:sz w:val="22"/>
                <w:szCs w:val="22"/>
                <w:highlight w:val="none"/>
                <w:lang w:eastAsia="zh-CN"/>
              </w:rPr>
              <w:t>耗材适用</w:t>
            </w:r>
            <w:r>
              <w:rPr>
                <w:rFonts w:hint="eastAsia" w:ascii="新宋体" w:hAnsi="新宋体" w:eastAsia="新宋体" w:cs="新宋体"/>
                <w:color w:val="auto"/>
                <w:sz w:val="22"/>
                <w:szCs w:val="22"/>
                <w:highlight w:val="none"/>
                <w:lang w:eastAsia="zh-CN"/>
              </w:rPr>
              <w:t>范围：能</w:t>
            </w:r>
            <w:r>
              <w:rPr>
                <w:rFonts w:hint="eastAsia" w:ascii="新宋体" w:hAnsi="新宋体" w:eastAsia="新宋体" w:cs="新宋体"/>
                <w:color w:val="auto"/>
                <w:sz w:val="22"/>
                <w:szCs w:val="22"/>
                <w:highlight w:val="none"/>
                <w:lang w:val="en-US" w:eastAsia="zh-CN"/>
              </w:rPr>
              <w:t>与穴位调控刺激仪配套使</w:t>
            </w:r>
            <w:r>
              <w:rPr>
                <w:rFonts w:hint="eastAsia" w:ascii="新宋体" w:hAnsi="新宋体" w:eastAsia="新宋体" w:cs="新宋体"/>
                <w:bCs/>
                <w:color w:val="auto"/>
                <w:sz w:val="22"/>
                <w:szCs w:val="22"/>
                <w:highlight w:val="none"/>
                <w:lang w:eastAsia="zh-CN"/>
              </w:rPr>
              <w:t>用。（提供</w:t>
            </w:r>
            <w:r>
              <w:rPr>
                <w:rFonts w:hint="eastAsia" w:ascii="新宋体" w:hAnsi="新宋体" w:eastAsia="新宋体" w:cs="新宋体"/>
                <w:color w:val="auto"/>
                <w:sz w:val="22"/>
                <w:szCs w:val="22"/>
                <w:highlight w:val="none"/>
                <w:lang w:val="en-US" w:eastAsia="zh-CN"/>
              </w:rPr>
              <w:t>注册证或者产品技术要求证明文件）</w:t>
            </w:r>
          </w:p>
        </w:tc>
      </w:tr>
      <w:tr w14:paraId="653F1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0B53A23">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w:t>
            </w:r>
          </w:p>
        </w:tc>
        <w:tc>
          <w:tcPr>
            <w:tcW w:w="4452" w:type="pct"/>
            <w:noWrap w:val="0"/>
            <w:vAlign w:val="center"/>
          </w:tcPr>
          <w:p w14:paraId="5A29751F">
            <w:pPr>
              <w:jc w:val="center"/>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性能基本参数</w:t>
            </w:r>
          </w:p>
        </w:tc>
      </w:tr>
      <w:tr w14:paraId="46A42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547" w:type="pct"/>
            <w:noWrap w:val="0"/>
            <w:vAlign w:val="center"/>
          </w:tcPr>
          <w:p w14:paraId="7D2FB073">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w:t>
            </w:r>
          </w:p>
        </w:tc>
        <w:tc>
          <w:tcPr>
            <w:tcW w:w="4452" w:type="pct"/>
            <w:noWrap w:val="0"/>
            <w:vAlign w:val="center"/>
          </w:tcPr>
          <w:p w14:paraId="385BE270">
            <w:pPr>
              <w:jc w:val="both"/>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穴位调控功能：场景图可根据使用需要进行替换，以匹配穴位调控疗法；</w:t>
            </w:r>
          </w:p>
        </w:tc>
      </w:tr>
      <w:tr w14:paraId="77B1D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6D7E13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2.2</w:t>
            </w:r>
          </w:p>
        </w:tc>
        <w:tc>
          <w:tcPr>
            <w:tcW w:w="4452" w:type="pct"/>
            <w:noWrap w:val="0"/>
            <w:vAlign w:val="center"/>
          </w:tcPr>
          <w:p w14:paraId="016CCE7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模式切换：经皮模式、经针模式和</w:t>
            </w:r>
            <w:r>
              <w:rPr>
                <w:rFonts w:hint="eastAsia" w:ascii="宋体" w:hAnsi="宋体" w:eastAsia="宋体" w:cs="Times New Roman"/>
                <w:color w:val="auto"/>
                <w:sz w:val="22"/>
                <w:szCs w:val="22"/>
                <w:highlight w:val="none"/>
                <w:lang w:val="en-US" w:eastAsia="zh-CN"/>
              </w:rPr>
              <w:t>子午流注模式</w:t>
            </w:r>
            <w:r>
              <w:rPr>
                <w:rFonts w:hint="eastAsia" w:ascii="新宋体" w:hAnsi="新宋体" w:eastAsia="新宋体" w:cs="新宋体"/>
                <w:color w:val="auto"/>
                <w:sz w:val="22"/>
                <w:szCs w:val="22"/>
                <w:highlight w:val="none"/>
                <w:lang w:val="en-US" w:eastAsia="zh-CN"/>
              </w:rPr>
              <w:t>。</w:t>
            </w:r>
          </w:p>
        </w:tc>
      </w:tr>
      <w:tr w14:paraId="640E6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339B523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2.3</w:t>
            </w:r>
          </w:p>
        </w:tc>
        <w:tc>
          <w:tcPr>
            <w:tcW w:w="4452" w:type="pct"/>
            <w:noWrap w:val="0"/>
            <w:vAlign w:val="center"/>
          </w:tcPr>
          <w:p w14:paraId="04976E11">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经皮模式：可在0-60mA范围内独立调节，恒流输出；</w:t>
            </w:r>
          </w:p>
        </w:tc>
      </w:tr>
      <w:tr w14:paraId="2CF36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74451A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2.4</w:t>
            </w:r>
          </w:p>
        </w:tc>
        <w:tc>
          <w:tcPr>
            <w:tcW w:w="4452" w:type="pct"/>
            <w:noWrap w:val="0"/>
            <w:vAlign w:val="center"/>
          </w:tcPr>
          <w:p w14:paraId="7754BFF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经针模式：输出范围可自动切换为0-9.9mA，精度≤0.1 mA。</w:t>
            </w:r>
          </w:p>
        </w:tc>
      </w:tr>
      <w:tr w14:paraId="17154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9BF0E5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2.5</w:t>
            </w:r>
          </w:p>
        </w:tc>
        <w:tc>
          <w:tcPr>
            <w:tcW w:w="4452" w:type="pct"/>
            <w:noWrap w:val="0"/>
            <w:vAlign w:val="center"/>
          </w:tcPr>
          <w:p w14:paraId="0D11FE99">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输出波形为连续波、疏密波、AM波。(</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4757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6BAF17C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2.6</w:t>
            </w:r>
          </w:p>
        </w:tc>
        <w:tc>
          <w:tcPr>
            <w:tcW w:w="4452" w:type="pct"/>
            <w:noWrap w:val="0"/>
            <w:vAlign w:val="center"/>
          </w:tcPr>
          <w:p w14:paraId="5D51F2C4">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连续波、疏密波、AM波刺激频率多档可调，频率精度≤±10%。(</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3FA1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5042D7D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2.7</w:t>
            </w:r>
          </w:p>
        </w:tc>
        <w:tc>
          <w:tcPr>
            <w:tcW w:w="4452" w:type="pct"/>
            <w:noWrap w:val="0"/>
            <w:vAlign w:val="center"/>
          </w:tcPr>
          <w:p w14:paraId="7741C64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连续波、疏密波和AM波的脉冲宽度范围：200μs～500μs；脉冲宽度精度≤±10%。</w:t>
            </w:r>
          </w:p>
          <w:p w14:paraId="31BA6BB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6DBEF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1467EA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2.8</w:t>
            </w:r>
          </w:p>
        </w:tc>
        <w:tc>
          <w:tcPr>
            <w:tcW w:w="4452" w:type="pct"/>
            <w:noWrap w:val="0"/>
            <w:vAlign w:val="center"/>
          </w:tcPr>
          <w:p w14:paraId="3149FB67">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恒流输出：在用经皮模式刺激穴位时输出电流不因皮肤部位的差异而变化。</w:t>
            </w:r>
          </w:p>
        </w:tc>
      </w:tr>
      <w:tr w14:paraId="26F13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DE7234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2.9</w:t>
            </w:r>
          </w:p>
        </w:tc>
        <w:tc>
          <w:tcPr>
            <w:tcW w:w="4452" w:type="pct"/>
            <w:noWrap w:val="0"/>
            <w:vAlign w:val="center"/>
          </w:tcPr>
          <w:p w14:paraId="104D9AA8">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刺激时间分为：15min，30min，不限时；时间准确性：误差≤±5%。</w:t>
            </w:r>
          </w:p>
        </w:tc>
      </w:tr>
      <w:tr w14:paraId="6C17F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50669A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2.10</w:t>
            </w:r>
          </w:p>
        </w:tc>
        <w:tc>
          <w:tcPr>
            <w:tcW w:w="4452" w:type="pct"/>
            <w:noWrap w:val="0"/>
            <w:vAlign w:val="center"/>
          </w:tcPr>
          <w:p w14:paraId="0A3EF771">
            <w:pPr>
              <w:jc w:val="both"/>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设备与配套耗材需是同个生产厂家，以注册证</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备案表</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为依据</w:t>
            </w:r>
            <w:r>
              <w:rPr>
                <w:rFonts w:hint="eastAsia" w:ascii="新宋体" w:hAnsi="新宋体" w:eastAsia="新宋体" w:cs="新宋体"/>
                <w:color w:val="auto"/>
                <w:sz w:val="22"/>
                <w:szCs w:val="22"/>
                <w:highlight w:val="none"/>
                <w:lang w:val="en-US" w:eastAsia="zh-CN"/>
              </w:rPr>
              <w:t>。</w:t>
            </w:r>
          </w:p>
        </w:tc>
      </w:tr>
    </w:tbl>
    <w:p w14:paraId="131B14C0">
      <w:pPr>
        <w:pStyle w:val="17"/>
        <w:spacing w:after="0" w:line="440" w:lineRule="atLeast"/>
        <w:rPr>
          <w:rFonts w:ascii="宋体" w:hAnsi="宋体" w:cs="宋体"/>
          <w:b/>
          <w:bCs/>
          <w:color w:val="auto"/>
          <w:sz w:val="22"/>
          <w:szCs w:val="28"/>
          <w:highlight w:val="none"/>
        </w:rPr>
      </w:pPr>
      <w:r>
        <w:rPr>
          <w:rFonts w:hint="eastAsia" w:ascii="宋体" w:hAnsi="宋体" w:cs="宋体"/>
          <w:b/>
          <w:bCs/>
          <w:color w:val="auto"/>
          <w:sz w:val="22"/>
          <w:szCs w:val="22"/>
          <w:highlight w:val="none"/>
        </w:rPr>
        <w:t>3.  商务要求（技术参数里另有注明的以技术参数为准）</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8813"/>
      </w:tblGrid>
      <w:tr w14:paraId="4491C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2E171AC">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472" w:type="pct"/>
            <w:noWrap w:val="0"/>
            <w:vAlign w:val="top"/>
          </w:tcPr>
          <w:p w14:paraId="23BFC32B">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招标要求</w:t>
            </w:r>
          </w:p>
        </w:tc>
      </w:tr>
      <w:tr w14:paraId="4F8FE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53C93C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4472" w:type="pct"/>
            <w:noWrap w:val="0"/>
            <w:vAlign w:val="top"/>
          </w:tcPr>
          <w:p w14:paraId="2CD3743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期为合同签订且设备验收合格后一年，或</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期内该项目耗材采购金额达到</w:t>
            </w:r>
            <w:r>
              <w:rPr>
                <w:rFonts w:hint="eastAsia" w:ascii="宋体" w:hAnsi="宋体" w:eastAsia="宋体" w:cs="宋体"/>
                <w:color w:val="auto"/>
                <w:sz w:val="22"/>
                <w:szCs w:val="22"/>
                <w:highlight w:val="none"/>
                <w:lang w:eastAsia="zh-CN"/>
              </w:rPr>
              <w:t>预算金额</w:t>
            </w:r>
            <w:r>
              <w:rPr>
                <w:rFonts w:hint="eastAsia" w:ascii="宋体" w:hAnsi="宋体" w:eastAsia="宋体" w:cs="宋体"/>
                <w:color w:val="auto"/>
                <w:sz w:val="22"/>
                <w:szCs w:val="22"/>
                <w:highlight w:val="none"/>
              </w:rPr>
              <w:t>也视为</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期结束。</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期间如遇政策性原因导致合同无法履行，则合同自行终止。</w:t>
            </w:r>
          </w:p>
        </w:tc>
      </w:tr>
      <w:tr w14:paraId="3EE19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FD151E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u w:val="single" w:color="auto"/>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color="auto"/>
                <w:lang w:val="en-US" w:eastAsia="zh-CN"/>
              </w:rPr>
              <w:t>2</w:t>
            </w:r>
          </w:p>
        </w:tc>
        <w:tc>
          <w:tcPr>
            <w:tcW w:w="4472" w:type="pct"/>
            <w:noWrap w:val="0"/>
            <w:vAlign w:val="top"/>
          </w:tcPr>
          <w:p w14:paraId="1D4BC3FB">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u w:val="single" w:color="auto"/>
              </w:rPr>
            </w:pPr>
            <w:r>
              <w:rPr>
                <w:rFonts w:hint="eastAsia" w:ascii="宋体" w:hAnsi="宋体" w:cs="宋体"/>
                <w:color w:val="auto"/>
                <w:sz w:val="22"/>
                <w:szCs w:val="22"/>
                <w:highlight w:val="none"/>
                <w:u w:val="single" w:color="auto"/>
                <w:lang w:eastAsia="zh-CN"/>
              </w:rPr>
              <w:t>服务</w:t>
            </w:r>
            <w:r>
              <w:rPr>
                <w:rFonts w:hint="eastAsia" w:ascii="宋体" w:hAnsi="宋体" w:eastAsia="宋体" w:cs="宋体"/>
                <w:color w:val="auto"/>
                <w:sz w:val="22"/>
                <w:szCs w:val="22"/>
                <w:highlight w:val="none"/>
                <w:u w:val="single" w:color="auto"/>
              </w:rPr>
              <w:t>期内：</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供货价如高于同期温州其他市级及以下医院相同产品的采购价格，则供货价格调整到温州其他市级及以下医院相同产品的采购价格，且该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采购须经过</w:t>
            </w:r>
            <w:r>
              <w:rPr>
                <w:rFonts w:hint="eastAsia" w:ascii="宋体" w:hAnsi="宋体" w:eastAsia="宋体" w:cs="宋体"/>
                <w:color w:val="auto"/>
                <w:sz w:val="22"/>
                <w:szCs w:val="22"/>
                <w:highlight w:val="none"/>
                <w:u w:val="single" w:color="auto"/>
                <w:lang w:eastAsia="zh-CN"/>
              </w:rPr>
              <w:t>两定机构医疗保障信息平台</w:t>
            </w:r>
            <w:r>
              <w:rPr>
                <w:rFonts w:hint="eastAsia" w:ascii="宋体" w:hAnsi="宋体" w:eastAsia="宋体" w:cs="宋体"/>
                <w:color w:val="auto"/>
                <w:sz w:val="22"/>
                <w:szCs w:val="22"/>
                <w:highlight w:val="none"/>
                <w:u w:val="single" w:color="auto"/>
              </w:rPr>
              <w:t>进行采购</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lang w:val="en-US" w:eastAsia="zh-CN"/>
              </w:rPr>
              <w:t>提供产品ID平台截图</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rPr>
              <w:t>。若该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纳入省或市集中招标采购目录，本合同品牌</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未能中标，则</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rPr>
              <w:t>自动终止。如中标，则按</w:t>
            </w:r>
            <w:r>
              <w:rPr>
                <w:rFonts w:hint="eastAsia" w:ascii="宋体" w:hAnsi="宋体" w:eastAsia="宋体" w:cs="宋体"/>
                <w:color w:val="auto"/>
                <w:sz w:val="22"/>
                <w:szCs w:val="22"/>
                <w:highlight w:val="none"/>
                <w:u w:val="single" w:color="auto"/>
                <w:lang w:val="en-US" w:eastAsia="zh-CN"/>
              </w:rPr>
              <w:t>集中招标的</w:t>
            </w:r>
            <w:r>
              <w:rPr>
                <w:rFonts w:hint="eastAsia" w:ascii="宋体" w:hAnsi="宋体" w:eastAsia="宋体" w:cs="宋体"/>
                <w:color w:val="auto"/>
                <w:sz w:val="22"/>
                <w:szCs w:val="22"/>
                <w:highlight w:val="none"/>
                <w:u w:val="single" w:color="auto"/>
              </w:rPr>
              <w:t>中标价格与采购方式执行。</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lang w:eastAsia="zh-CN"/>
              </w:rPr>
              <w:t>内，</w:t>
            </w:r>
            <w:r>
              <w:rPr>
                <w:rFonts w:hint="eastAsia" w:ascii="宋体" w:hAnsi="宋体" w:eastAsia="宋体" w:cs="宋体"/>
                <w:color w:val="auto"/>
                <w:sz w:val="22"/>
                <w:szCs w:val="22"/>
                <w:highlight w:val="none"/>
                <w:u w:val="single" w:color="auto"/>
              </w:rPr>
              <w:t>如遇政策性收费标准下调，</w:t>
            </w:r>
            <w:r>
              <w:rPr>
                <w:rFonts w:hint="eastAsia" w:ascii="宋体" w:hAnsi="宋体" w:eastAsia="宋体" w:cs="宋体"/>
                <w:color w:val="auto"/>
                <w:sz w:val="22"/>
                <w:szCs w:val="22"/>
                <w:highlight w:val="none"/>
                <w:u w:val="single" w:color="auto"/>
                <w:lang w:eastAsia="zh-CN"/>
              </w:rPr>
              <w:t>相关耗材价格须按收费标准调整同比例下调</w:t>
            </w:r>
            <w:r>
              <w:rPr>
                <w:rFonts w:hint="eastAsia" w:ascii="宋体" w:hAnsi="宋体" w:eastAsia="宋体" w:cs="宋体"/>
                <w:color w:val="auto"/>
                <w:sz w:val="22"/>
                <w:szCs w:val="22"/>
                <w:highlight w:val="none"/>
                <w:u w:val="single" w:color="auto"/>
              </w:rPr>
              <w:t>。</w:t>
            </w:r>
          </w:p>
        </w:tc>
      </w:tr>
      <w:tr w14:paraId="4C858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A61CE1">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472" w:type="pct"/>
            <w:noWrap w:val="0"/>
            <w:vAlign w:val="top"/>
          </w:tcPr>
          <w:p w14:paraId="52DF3C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投标设备供货数量按医院需求分批次供货。</w:t>
            </w:r>
            <w:r>
              <w:rPr>
                <w:rFonts w:hint="eastAsia" w:ascii="宋体" w:hAnsi="宋体" w:cs="宋体"/>
                <w:color w:val="auto"/>
                <w:sz w:val="22"/>
                <w:szCs w:val="22"/>
                <w:highlight w:val="none"/>
                <w:lang w:val="en-US" w:eastAsia="zh-CN"/>
              </w:rPr>
              <w:t>服务期</w:t>
            </w:r>
            <w:r>
              <w:rPr>
                <w:rFonts w:hint="eastAsia" w:ascii="宋体" w:hAnsi="宋体" w:eastAsia="宋体" w:cs="宋体"/>
                <w:color w:val="auto"/>
                <w:sz w:val="22"/>
                <w:szCs w:val="22"/>
                <w:highlight w:val="none"/>
                <w:lang w:val="en-US" w:eastAsia="zh-CN"/>
              </w:rPr>
              <w:t>内，如医院业务开展需求，超出供货数量，需增加设备数量。</w:t>
            </w:r>
          </w:p>
        </w:tc>
      </w:tr>
      <w:tr w14:paraId="53E44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B50FDC3">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472" w:type="pct"/>
            <w:noWrap w:val="0"/>
            <w:vAlign w:val="top"/>
          </w:tcPr>
          <w:p w14:paraId="32C9DFF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服务</w:t>
            </w:r>
            <w:r>
              <w:rPr>
                <w:rFonts w:hint="eastAsia" w:ascii="宋体" w:hAnsi="宋体" w:eastAsia="宋体" w:cs="宋体"/>
                <w:color w:val="auto"/>
                <w:sz w:val="22"/>
                <w:szCs w:val="22"/>
                <w:highlight w:val="none"/>
              </w:rPr>
              <w:t>期间</w:t>
            </w:r>
            <w:r>
              <w:rPr>
                <w:rFonts w:hint="eastAsia" w:ascii="宋体" w:hAnsi="宋体" w:eastAsia="宋体" w:cs="宋体"/>
                <w:color w:val="auto"/>
                <w:sz w:val="22"/>
                <w:szCs w:val="22"/>
                <w:highlight w:val="none"/>
                <w:lang w:eastAsia="zh-CN"/>
              </w:rPr>
              <w:t>，租赁</w:t>
            </w:r>
            <w:r>
              <w:rPr>
                <w:rFonts w:hint="eastAsia" w:ascii="宋体" w:hAnsi="宋体" w:eastAsia="宋体" w:cs="宋体"/>
                <w:color w:val="auto"/>
                <w:sz w:val="22"/>
                <w:szCs w:val="22"/>
                <w:highlight w:val="none"/>
              </w:rPr>
              <w:t>设备保修、保养由中标方负责，使用部门报修后，中标人必须即时响应，</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小时内</w:t>
            </w:r>
            <w:r>
              <w:rPr>
                <w:rFonts w:hint="eastAsia" w:ascii="宋体" w:hAnsi="宋体" w:eastAsia="宋体" w:cs="宋体"/>
                <w:color w:val="auto"/>
                <w:sz w:val="22"/>
                <w:szCs w:val="22"/>
                <w:highlight w:val="none"/>
                <w:lang w:eastAsia="zh-CN"/>
              </w:rPr>
              <w:t>维修</w:t>
            </w:r>
            <w:r>
              <w:rPr>
                <w:rFonts w:hint="eastAsia" w:ascii="宋体" w:hAnsi="宋体" w:eastAsia="宋体" w:cs="宋体"/>
                <w:color w:val="auto"/>
                <w:sz w:val="22"/>
                <w:szCs w:val="22"/>
                <w:highlight w:val="none"/>
              </w:rPr>
              <w:t>解决问题，如果不能按要求解决的应提供备用机器。</w:t>
            </w:r>
          </w:p>
        </w:tc>
      </w:tr>
      <w:tr w14:paraId="3EC1A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1BB02DD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472" w:type="pct"/>
            <w:noWrap w:val="0"/>
            <w:vAlign w:val="top"/>
          </w:tcPr>
          <w:p w14:paraId="1BEDFE67">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技术支持：中标人应提供免费软件升级，并及时提供设备新功能和临床应用的资料。</w:t>
            </w:r>
          </w:p>
        </w:tc>
      </w:tr>
      <w:tr w14:paraId="17711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523902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4472" w:type="pct"/>
            <w:noWrap w:val="0"/>
            <w:vAlign w:val="top"/>
          </w:tcPr>
          <w:p w14:paraId="02AD9A5E">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交货期：合同签订后，中标方接到采购人通知后设备在1个月内到货，耗材在5个工作日内按采购人订单要求的数量到货</w:t>
            </w:r>
            <w:r>
              <w:rPr>
                <w:rFonts w:hint="eastAsia" w:ascii="宋体" w:hAnsi="宋体" w:eastAsia="宋体" w:cs="宋体"/>
                <w:color w:val="auto"/>
                <w:sz w:val="22"/>
                <w:szCs w:val="22"/>
                <w:highlight w:val="none"/>
                <w:lang w:eastAsia="zh-CN"/>
              </w:rPr>
              <w:t>。</w:t>
            </w:r>
          </w:p>
        </w:tc>
      </w:tr>
      <w:tr w14:paraId="6038B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0EB142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4472" w:type="pct"/>
            <w:noWrap w:val="0"/>
            <w:vAlign w:val="top"/>
          </w:tcPr>
          <w:p w14:paraId="60ADD1B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到货地点：温州市第七人民医院指定地点。</w:t>
            </w:r>
          </w:p>
        </w:tc>
      </w:tr>
      <w:tr w14:paraId="7230E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CCA3C0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4472" w:type="pct"/>
            <w:noWrap w:val="0"/>
            <w:vAlign w:val="top"/>
          </w:tcPr>
          <w:p w14:paraId="2E56E0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验收</w:t>
            </w:r>
            <w:r>
              <w:rPr>
                <w:rFonts w:hint="eastAsia" w:ascii="宋体" w:hAnsi="宋体" w:eastAsia="宋体" w:cs="宋体"/>
                <w:color w:val="auto"/>
                <w:sz w:val="22"/>
                <w:szCs w:val="22"/>
                <w:highlight w:val="none"/>
                <w:lang w:eastAsia="zh-CN"/>
              </w:rPr>
              <w:t>。</w:t>
            </w:r>
          </w:p>
        </w:tc>
      </w:tr>
      <w:tr w14:paraId="56E64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831EE82">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p>
        </w:tc>
        <w:tc>
          <w:tcPr>
            <w:tcW w:w="4472" w:type="pct"/>
            <w:noWrap w:val="0"/>
            <w:vAlign w:val="top"/>
          </w:tcPr>
          <w:p w14:paraId="02F7D16C">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投标方在投标时应提供设备的验收标准、安装技术规范，供买方参考。</w:t>
            </w:r>
          </w:p>
        </w:tc>
      </w:tr>
      <w:tr w14:paraId="5365C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54628737">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tc>
        <w:tc>
          <w:tcPr>
            <w:tcW w:w="4472" w:type="pct"/>
            <w:noWrap w:val="0"/>
            <w:vAlign w:val="top"/>
          </w:tcPr>
          <w:p w14:paraId="5CC6E7AF">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验收依据：按投标文件、招标文件及国家标准验收。</w:t>
            </w:r>
          </w:p>
        </w:tc>
      </w:tr>
      <w:tr w14:paraId="2F9DC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984308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tc>
        <w:tc>
          <w:tcPr>
            <w:tcW w:w="4472" w:type="pct"/>
            <w:noWrap w:val="0"/>
            <w:vAlign w:val="top"/>
          </w:tcPr>
          <w:p w14:paraId="2BBC2CD4">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设备到达最终用户后，要求卖方及安装人员会同买方共同参与设备验收。设备安装调试后，卖方负责安装质量，并经验收合格后，买卖双方共同签署设备验收合格证书。</w:t>
            </w:r>
          </w:p>
        </w:tc>
      </w:tr>
      <w:tr w14:paraId="3C0D3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05C9350B">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w:t>
            </w:r>
          </w:p>
        </w:tc>
        <w:tc>
          <w:tcPr>
            <w:tcW w:w="4472" w:type="pct"/>
            <w:noWrap w:val="0"/>
            <w:vAlign w:val="top"/>
          </w:tcPr>
          <w:p w14:paraId="3AA583C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耗材经采购人仓库保管员验收后入库，有效期内未使用完由中标方免费调换。</w:t>
            </w:r>
          </w:p>
        </w:tc>
      </w:tr>
      <w:tr w14:paraId="3DA7D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2AE6BC">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4472" w:type="pct"/>
            <w:noWrap w:val="0"/>
            <w:vAlign w:val="top"/>
          </w:tcPr>
          <w:p w14:paraId="1CAE51F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贷款结算</w:t>
            </w:r>
            <w:r>
              <w:rPr>
                <w:rFonts w:hint="eastAsia" w:ascii="宋体" w:hAnsi="宋体" w:eastAsia="宋体" w:cs="宋体"/>
                <w:color w:val="auto"/>
                <w:sz w:val="22"/>
                <w:szCs w:val="22"/>
                <w:highlight w:val="none"/>
              </w:rPr>
              <w:t>：</w:t>
            </w:r>
          </w:p>
          <w:p w14:paraId="3E473DA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穴位调控刺激仪专用耗材预算</w:t>
            </w:r>
            <w:r>
              <w:rPr>
                <w:rFonts w:hint="eastAsia" w:ascii="宋体" w:hAnsi="宋体" w:eastAsia="宋体" w:cs="宋体"/>
                <w:color w:val="auto"/>
                <w:sz w:val="22"/>
                <w:szCs w:val="22"/>
                <w:highlight w:val="none"/>
              </w:rPr>
              <w:t>是医院对一年用量的估计值，医院按实际需求量采购，对最终用量不作承诺。</w:t>
            </w:r>
          </w:p>
          <w:p w14:paraId="065999E1">
            <w:pPr>
              <w:spacing w:line="460" w:lineRule="exact"/>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按批次供货并结算，结算价 = 实际供货数量×中标单价。</w:t>
            </w:r>
          </w:p>
          <w:p w14:paraId="71DE06E5">
            <w:pPr>
              <w:spacing w:line="46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设备</w:t>
            </w:r>
            <w:r>
              <w:rPr>
                <w:rFonts w:hint="eastAsia" w:ascii="宋体" w:hAnsi="宋体" w:eastAsia="宋体" w:cs="宋体"/>
                <w:b/>
                <w:bCs/>
                <w:color w:val="auto"/>
                <w:sz w:val="22"/>
                <w:szCs w:val="22"/>
                <w:highlight w:val="none"/>
              </w:rPr>
              <w:t>租赁费在合作期满后按实际租赁月份</w:t>
            </w:r>
            <w:r>
              <w:rPr>
                <w:rFonts w:hint="eastAsia" w:ascii="宋体" w:hAnsi="宋体" w:eastAsia="宋体" w:cs="宋体"/>
                <w:b/>
                <w:bCs/>
                <w:color w:val="auto"/>
                <w:sz w:val="22"/>
                <w:szCs w:val="22"/>
                <w:highlight w:val="none"/>
                <w:lang w:eastAsia="zh-CN"/>
              </w:rPr>
              <w:t>及台数结算，</w:t>
            </w:r>
            <w:r>
              <w:rPr>
                <w:rFonts w:hint="eastAsia" w:ascii="宋体" w:hAnsi="宋体" w:eastAsia="宋体" w:cs="宋体"/>
                <w:b/>
                <w:bCs/>
                <w:color w:val="auto"/>
                <w:sz w:val="22"/>
                <w:szCs w:val="22"/>
                <w:highlight w:val="none"/>
              </w:rPr>
              <w:t>采购人收到发票后一次性支付。</w:t>
            </w:r>
          </w:p>
          <w:p w14:paraId="6442C271">
            <w:pPr>
              <w:spacing w:line="4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耗材按实际使用量，每月结算一次,</w:t>
            </w:r>
            <w:r>
              <w:rPr>
                <w:rFonts w:hint="eastAsia" w:ascii="宋体" w:hAnsi="宋体" w:eastAsia="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在收到</w:t>
            </w:r>
            <w:r>
              <w:rPr>
                <w:rFonts w:hint="eastAsia" w:ascii="宋体" w:hAnsi="宋体" w:eastAsia="宋体" w:cs="宋体"/>
                <w:b/>
                <w:bCs/>
                <w:color w:val="auto"/>
                <w:sz w:val="22"/>
                <w:szCs w:val="22"/>
                <w:highlight w:val="none"/>
                <w:lang w:eastAsia="zh-CN"/>
              </w:rPr>
              <w:t>中标人</w:t>
            </w:r>
            <w:r>
              <w:rPr>
                <w:rFonts w:hint="eastAsia" w:ascii="宋体" w:hAnsi="宋体" w:eastAsia="宋体" w:cs="宋体"/>
                <w:b/>
                <w:bCs/>
                <w:color w:val="auto"/>
                <w:sz w:val="22"/>
                <w:szCs w:val="22"/>
                <w:highlight w:val="none"/>
              </w:rPr>
              <w:t>发票后</w:t>
            </w:r>
            <w:r>
              <w:rPr>
                <w:rFonts w:hint="eastAsia" w:ascii="宋体" w:hAnsi="宋体" w:eastAsia="宋体" w:cs="宋体"/>
                <w:b/>
                <w:bCs/>
                <w:color w:val="auto"/>
                <w:sz w:val="22"/>
                <w:szCs w:val="22"/>
                <w:highlight w:val="none"/>
                <w:lang w:val="en-US" w:eastAsia="zh-CN"/>
              </w:rPr>
              <w:t>3个月</w:t>
            </w:r>
            <w:r>
              <w:rPr>
                <w:rFonts w:hint="eastAsia" w:ascii="宋体" w:hAnsi="宋体" w:eastAsia="宋体" w:cs="宋体"/>
                <w:b/>
                <w:bCs/>
                <w:color w:val="auto"/>
                <w:sz w:val="22"/>
                <w:szCs w:val="22"/>
                <w:highlight w:val="none"/>
              </w:rPr>
              <w:t>内</w:t>
            </w:r>
            <w:r>
              <w:rPr>
                <w:rFonts w:hint="eastAsia" w:ascii="宋体" w:hAnsi="宋体" w:eastAsia="宋体" w:cs="宋体"/>
                <w:b/>
                <w:bCs/>
                <w:color w:val="auto"/>
                <w:sz w:val="22"/>
                <w:szCs w:val="22"/>
                <w:highlight w:val="none"/>
                <w:lang w:eastAsia="zh-CN"/>
              </w:rPr>
              <w:t>支付</w:t>
            </w:r>
            <w:r>
              <w:rPr>
                <w:rFonts w:hint="eastAsia" w:ascii="宋体" w:hAnsi="宋体" w:eastAsia="宋体" w:cs="宋体"/>
                <w:b/>
                <w:bCs/>
                <w:color w:val="auto"/>
                <w:sz w:val="22"/>
                <w:szCs w:val="22"/>
                <w:highlight w:val="none"/>
              </w:rPr>
              <w:t>货款。</w:t>
            </w:r>
          </w:p>
        </w:tc>
      </w:tr>
      <w:tr w14:paraId="41E0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EFA159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4472" w:type="pct"/>
            <w:noWrap w:val="0"/>
            <w:vAlign w:val="top"/>
          </w:tcPr>
          <w:p w14:paraId="2C7B18D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如有不同意的合同条款，在此处列明并详细说明。此处未作说明的，均视为完全同意按招标文件《第</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部分合同主要条款》中所列条款签订合同。</w:t>
            </w:r>
          </w:p>
        </w:tc>
      </w:tr>
      <w:tr w14:paraId="5D37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D0C0AF4">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4472" w:type="pct"/>
            <w:noWrap w:val="0"/>
            <w:vAlign w:val="top"/>
          </w:tcPr>
          <w:p w14:paraId="085E2D50">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保密：招投标及合同中凡涉及买方项目的有关信息，不得透露给第三方。</w:t>
            </w:r>
          </w:p>
        </w:tc>
      </w:tr>
    </w:tbl>
    <w:p w14:paraId="446BEAA1">
      <w:pPr>
        <w:rPr>
          <w:color w:val="auto"/>
          <w:highlight w:val="none"/>
        </w:rPr>
      </w:pPr>
    </w:p>
    <w:p w14:paraId="13335716">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329DEB1">
      <w:pPr>
        <w:pStyle w:val="3"/>
        <w:spacing w:line="600" w:lineRule="exact"/>
        <w:jc w:val="center"/>
        <w:rPr>
          <w:rFonts w:ascii="黑体" w:hAnsi="黑体"/>
          <w:bCs/>
          <w:color w:val="auto"/>
          <w:sz w:val="36"/>
          <w:szCs w:val="36"/>
          <w:highlight w:val="none"/>
        </w:rPr>
      </w:pPr>
      <w:bookmarkStart w:id="111" w:name="_Toc11101"/>
      <w:r>
        <w:rPr>
          <w:rFonts w:hint="eastAsia" w:ascii="黑体" w:hAnsi="黑体" w:eastAsia="黑体"/>
          <w:bCs/>
          <w:color w:val="auto"/>
          <w:sz w:val="36"/>
          <w:szCs w:val="36"/>
          <w:highlight w:val="none"/>
        </w:rPr>
        <w:t>第六部分  评标原则及方法</w:t>
      </w:r>
      <w:bookmarkEnd w:id="104"/>
      <w:bookmarkEnd w:id="109"/>
      <w:bookmarkEnd w:id="111"/>
    </w:p>
    <w:p w14:paraId="22607B15">
      <w:pPr>
        <w:pStyle w:val="17"/>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分（商务技术权值</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%），价格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分（价格权值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%）。即最大限度地满足招标文件实质性要求前提下，按照招标文件中规定的各项评分内容评审后，以评标总得分最高的投标人，作为中标人。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w:t>
      </w:r>
      <w:r>
        <w:rPr>
          <w:rFonts w:hint="eastAsia" w:ascii="宋体" w:hAnsi="宋体" w:cs="宋体"/>
          <w:b/>
          <w:color w:val="auto"/>
          <w:szCs w:val="22"/>
          <w:highlight w:val="none"/>
          <w:lang w:val="en-US" w:eastAsia="zh-CN"/>
        </w:rPr>
        <w:t>65</w:t>
      </w:r>
      <w:r>
        <w:rPr>
          <w:rFonts w:hint="eastAsia" w:ascii="宋体" w:hAnsi="宋体" w:cs="宋体"/>
          <w:b/>
          <w:color w:val="auto"/>
          <w:szCs w:val="22"/>
          <w:highlight w:val="none"/>
        </w:rPr>
        <w:t>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24"/>
        <w:gridCol w:w="2272"/>
        <w:gridCol w:w="613"/>
        <w:gridCol w:w="6155"/>
      </w:tblGrid>
      <w:tr w14:paraId="01EB7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7FA073AB">
            <w:pPr>
              <w:keepNext w:val="0"/>
              <w:keepLines w:val="0"/>
              <w:pageBreakBefore w:val="0"/>
              <w:widowControl w:val="0"/>
              <w:kinsoku/>
              <w:wordWrap/>
              <w:overflowPunct/>
              <w:topLinePunct w:val="0"/>
              <w:autoSpaceDE/>
              <w:autoSpaceDN/>
              <w:bidi w:val="0"/>
              <w:adjustRightInd/>
              <w:snapToGrid/>
              <w:spacing w:line="460" w:lineRule="exact"/>
              <w:ind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75" w:type="pct"/>
            <w:noWrap w:val="0"/>
            <w:vAlign w:val="center"/>
          </w:tcPr>
          <w:p w14:paraId="74A80BE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评定项目</w:t>
            </w:r>
          </w:p>
        </w:tc>
        <w:tc>
          <w:tcPr>
            <w:tcW w:w="317" w:type="pct"/>
            <w:noWrap w:val="0"/>
            <w:vAlign w:val="center"/>
          </w:tcPr>
          <w:p w14:paraId="0D9A76B0">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3184" w:type="pct"/>
            <w:noWrap w:val="0"/>
            <w:vAlign w:val="center"/>
          </w:tcPr>
          <w:p w14:paraId="79FF1A8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r>
      <w:tr w14:paraId="03DF5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323" w:type="pct"/>
            <w:noWrap w:val="0"/>
            <w:vAlign w:val="center"/>
          </w:tcPr>
          <w:p w14:paraId="5014BAA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75" w:type="pct"/>
            <w:noWrap w:val="0"/>
            <w:vAlign w:val="center"/>
          </w:tcPr>
          <w:p w14:paraId="08C37F3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对应于招标文件货物技术规格、配置、商务条款的偏离度</w:t>
            </w:r>
          </w:p>
        </w:tc>
        <w:tc>
          <w:tcPr>
            <w:tcW w:w="317" w:type="pct"/>
            <w:noWrap w:val="0"/>
            <w:vAlign w:val="center"/>
          </w:tcPr>
          <w:p w14:paraId="478D6D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40分</w:t>
            </w:r>
          </w:p>
        </w:tc>
        <w:tc>
          <w:tcPr>
            <w:tcW w:w="3184" w:type="pct"/>
            <w:noWrap w:val="0"/>
            <w:vAlign w:val="center"/>
          </w:tcPr>
          <w:p w14:paraId="3E77718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与招标内容及要求的货物</w:t>
            </w:r>
            <w:r>
              <w:rPr>
                <w:rFonts w:hint="eastAsia" w:ascii="宋体" w:hAnsi="宋体" w:eastAsia="宋体" w:cs="宋体"/>
                <w:color w:val="auto"/>
                <w:sz w:val="22"/>
                <w:szCs w:val="22"/>
                <w:highlight w:val="none"/>
                <w:lang w:val="en-US" w:eastAsia="zh-CN"/>
              </w:rPr>
              <w:t>技术要求</w:t>
            </w:r>
            <w:r>
              <w:rPr>
                <w:rFonts w:hint="eastAsia" w:ascii="宋体" w:hAnsi="宋体" w:eastAsia="宋体" w:cs="宋体"/>
                <w:color w:val="auto"/>
                <w:sz w:val="22"/>
                <w:szCs w:val="22"/>
                <w:highlight w:val="none"/>
              </w:rPr>
              <w:t>对比，一般技术指标负偏离每项扣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分，商务要求偏离每项扣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标注★指标负偏离每项扣</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分，扣完为止。</w:t>
            </w:r>
          </w:p>
        </w:tc>
      </w:tr>
      <w:tr w14:paraId="2E2D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jc w:val="center"/>
        </w:trPr>
        <w:tc>
          <w:tcPr>
            <w:tcW w:w="323" w:type="pct"/>
            <w:noWrap w:val="0"/>
            <w:vAlign w:val="center"/>
          </w:tcPr>
          <w:p w14:paraId="08008AE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75" w:type="pct"/>
            <w:noWrap w:val="0"/>
            <w:vAlign w:val="center"/>
          </w:tcPr>
          <w:p w14:paraId="68A6F74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投标货物配套的合理性</w:t>
            </w:r>
          </w:p>
        </w:tc>
        <w:tc>
          <w:tcPr>
            <w:tcW w:w="317" w:type="pct"/>
            <w:noWrap w:val="0"/>
            <w:vAlign w:val="center"/>
          </w:tcPr>
          <w:p w14:paraId="6FFFEB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3C0BAA6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评委对投标货物配套的合理性、功能实现程度进行评价：</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投标货物配套合理</w:t>
            </w:r>
            <w:r>
              <w:rPr>
                <w:rFonts w:hint="eastAsia" w:ascii="宋体" w:hAnsi="宋体" w:eastAsia="宋体" w:cs="宋体"/>
                <w:color w:val="auto"/>
                <w:sz w:val="22"/>
                <w:szCs w:val="22"/>
                <w:highlight w:val="none"/>
                <w:lang w:val="en-US" w:eastAsia="zh-CN"/>
              </w:rPr>
              <w:t>性</w:t>
            </w:r>
            <w:r>
              <w:rPr>
                <w:rFonts w:hint="eastAsia" w:ascii="宋体" w:hAnsi="宋体" w:eastAsia="宋体" w:cs="宋体"/>
                <w:color w:val="auto"/>
                <w:sz w:val="22"/>
                <w:szCs w:val="22"/>
                <w:highlight w:val="none"/>
              </w:rPr>
              <w:t>、功能</w:t>
            </w:r>
            <w:r>
              <w:rPr>
                <w:rFonts w:hint="eastAsia" w:ascii="宋体" w:hAnsi="宋体" w:eastAsia="宋体" w:cs="宋体"/>
                <w:color w:val="auto"/>
                <w:sz w:val="22"/>
                <w:szCs w:val="22"/>
                <w:highlight w:val="none"/>
                <w:lang w:val="en-US" w:eastAsia="zh-CN"/>
              </w:rPr>
              <w:t>达到临床要求程度进行综合评分（评分范围：3、2、1、0）</w:t>
            </w:r>
          </w:p>
        </w:tc>
      </w:tr>
      <w:tr w14:paraId="3D80D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1350DF42">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1175" w:type="pct"/>
            <w:noWrap w:val="0"/>
            <w:vAlign w:val="center"/>
          </w:tcPr>
          <w:p w14:paraId="0A408EF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租赁机型成熟度、制造工艺先进性、稳定性</w:t>
            </w:r>
          </w:p>
        </w:tc>
        <w:tc>
          <w:tcPr>
            <w:tcW w:w="317" w:type="pct"/>
            <w:noWrap w:val="0"/>
            <w:vAlign w:val="center"/>
          </w:tcPr>
          <w:p w14:paraId="6BE5E04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5588012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评委对租赁设备机型成熟度、制造工艺先进性、稳定性</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p>
        </w:tc>
      </w:tr>
      <w:tr w14:paraId="4988F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5901615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175" w:type="pct"/>
            <w:noWrap w:val="0"/>
            <w:vAlign w:val="center"/>
          </w:tcPr>
          <w:p w14:paraId="4C34C745">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投标货物使用评价</w:t>
            </w:r>
          </w:p>
        </w:tc>
        <w:tc>
          <w:tcPr>
            <w:tcW w:w="317" w:type="pct"/>
            <w:noWrap w:val="0"/>
            <w:vAlign w:val="center"/>
          </w:tcPr>
          <w:p w14:paraId="63EBA3F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B98AAA3">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投标货物操作便捷性、安全性等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，提供货物操作说明、图示等详细资料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6D90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4329C84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175" w:type="pct"/>
            <w:noWrap w:val="0"/>
            <w:vAlign w:val="center"/>
          </w:tcPr>
          <w:p w14:paraId="718B2E8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服务方案</w:t>
            </w:r>
          </w:p>
        </w:tc>
        <w:tc>
          <w:tcPr>
            <w:tcW w:w="317" w:type="pct"/>
            <w:noWrap w:val="0"/>
            <w:vAlign w:val="center"/>
          </w:tcPr>
          <w:p w14:paraId="19B6872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F39412D">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评委对服务方案（包括配送方案、到货期、设备运行保障等）进行</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03AAE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5" w:hRule="atLeast"/>
          <w:jc w:val="center"/>
        </w:trPr>
        <w:tc>
          <w:tcPr>
            <w:tcW w:w="323" w:type="pct"/>
            <w:noWrap w:val="0"/>
            <w:vAlign w:val="center"/>
          </w:tcPr>
          <w:p w14:paraId="64D3614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175" w:type="pct"/>
            <w:noWrap w:val="0"/>
            <w:vAlign w:val="center"/>
          </w:tcPr>
          <w:p w14:paraId="462C6BD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同类项目业绩</w:t>
            </w:r>
          </w:p>
        </w:tc>
        <w:tc>
          <w:tcPr>
            <w:tcW w:w="317" w:type="pct"/>
            <w:noWrap w:val="0"/>
            <w:vAlign w:val="center"/>
          </w:tcPr>
          <w:p w14:paraId="16487F5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435FE87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提供20</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以合同签订时间为准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起至今与最终用户签订的投标耗材或租赁设备销售或租赁合同复印件，每份有效合同得1分，最多</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提供合同复印件</w:t>
            </w:r>
            <w:r>
              <w:rPr>
                <w:rFonts w:hint="eastAsia" w:ascii="宋体" w:hAnsi="宋体" w:eastAsia="宋体" w:cs="宋体"/>
                <w:color w:val="auto"/>
                <w:sz w:val="22"/>
                <w:szCs w:val="22"/>
                <w:highlight w:val="none"/>
                <w:lang w:eastAsia="zh-CN"/>
              </w:rPr>
              <w:t>）</w:t>
            </w:r>
          </w:p>
          <w:p w14:paraId="1862AE2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vertAlign w:val="baseline"/>
                <w:lang w:val="en-US" w:eastAsia="zh-CN"/>
              </w:rPr>
              <w:t>注：</w:t>
            </w:r>
            <w:r>
              <w:rPr>
                <w:rFonts w:hint="eastAsia" w:ascii="宋体" w:hAnsi="宋体" w:eastAsia="宋体" w:cs="宋体"/>
                <w:b/>
                <w:bCs/>
                <w:color w:val="auto"/>
                <w:sz w:val="22"/>
                <w:szCs w:val="22"/>
                <w:highlight w:val="none"/>
                <w:vertAlign w:val="baseline"/>
              </w:rPr>
              <w:t>根据《浙江省财政厅关于进一步加大政府采购支持中小企业力度助力扎实稳住经济的通知》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须提供证明材料。</w:t>
            </w:r>
          </w:p>
        </w:tc>
      </w:tr>
      <w:tr w14:paraId="72BCD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0" w:hRule="atLeast"/>
          <w:jc w:val="center"/>
        </w:trPr>
        <w:tc>
          <w:tcPr>
            <w:tcW w:w="323" w:type="pct"/>
            <w:noWrap w:val="0"/>
            <w:vAlign w:val="center"/>
          </w:tcPr>
          <w:p w14:paraId="4268390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175" w:type="pct"/>
            <w:noWrap w:val="0"/>
            <w:vAlign w:val="center"/>
          </w:tcPr>
          <w:p w14:paraId="71D96DA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制造商或代理商的售后服务和维修能力</w:t>
            </w:r>
          </w:p>
        </w:tc>
        <w:tc>
          <w:tcPr>
            <w:tcW w:w="317" w:type="pct"/>
            <w:noWrap w:val="0"/>
            <w:vAlign w:val="center"/>
          </w:tcPr>
          <w:p w14:paraId="2D34534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22E9DEC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制造商或代理商的售后服务和维修能力，服务响应速度、服务人员水平、备品备件配置等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（评分范围：5、4、3、2、1、0）</w:t>
            </w:r>
          </w:p>
        </w:tc>
      </w:tr>
      <w:tr w14:paraId="533B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323" w:type="pct"/>
            <w:noWrap w:val="0"/>
            <w:vAlign w:val="center"/>
          </w:tcPr>
          <w:p w14:paraId="5801B61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1175" w:type="pct"/>
            <w:noWrap w:val="0"/>
            <w:vAlign w:val="center"/>
          </w:tcPr>
          <w:p w14:paraId="2E4AD8B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环境标志产品、节能产品评审</w:t>
            </w:r>
          </w:p>
        </w:tc>
        <w:tc>
          <w:tcPr>
            <w:tcW w:w="317" w:type="pct"/>
            <w:noWrap w:val="0"/>
            <w:vAlign w:val="center"/>
          </w:tcPr>
          <w:p w14:paraId="1C5180A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1分</w:t>
            </w:r>
          </w:p>
        </w:tc>
        <w:tc>
          <w:tcPr>
            <w:tcW w:w="3184" w:type="pct"/>
            <w:noWrap w:val="0"/>
            <w:vAlign w:val="center"/>
          </w:tcPr>
          <w:p w14:paraId="5EFE29BC">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投标产品主体列入财政部、环境保护部“环境标志产品政府采购清单”的、列入财政部、国家发展改革委“节能产品政府采购清单”的，每项得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rPr>
        <w:t>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在发布中标公告的同时，采购人和采购代理机构将向中标人发出中标通知书。中标通知书对采购人和中标人具有同等法律效力。</w:t>
      </w:r>
    </w:p>
    <w:p w14:paraId="2FDDA1B0">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43172E8A">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14:paraId="13D5739B">
      <w:pPr>
        <w:rPr>
          <w:color w:val="auto"/>
          <w:highlight w:val="none"/>
        </w:rPr>
      </w:pPr>
    </w:p>
    <w:p w14:paraId="650B5A70">
      <w:pPr>
        <w:pStyle w:val="23"/>
        <w:ind w:left="1260"/>
        <w:rPr>
          <w:color w:val="auto"/>
          <w:highlight w:val="none"/>
        </w:rPr>
      </w:pP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29"/>
      <w:framePr w:wrap="around" w:vAnchor="text" w:hAnchor="margin" w:xAlign="center" w:y="1"/>
      <w:rPr>
        <w:rStyle w:val="42"/>
      </w:rPr>
    </w:pPr>
    <w:r>
      <w:fldChar w:fldCharType="begin"/>
    </w:r>
    <w:r>
      <w:rPr>
        <w:rStyle w:val="42"/>
      </w:rPr>
      <w:instrText xml:space="preserve">PAGE  </w:instrText>
    </w:r>
    <w:r>
      <w:fldChar w:fldCharType="separate"/>
    </w:r>
    <w:r>
      <w:rPr>
        <w:rStyle w:val="42"/>
      </w:rPr>
      <w:t>23</w:t>
    </w:r>
    <w:r>
      <w:fldChar w:fldCharType="end"/>
    </w:r>
  </w:p>
  <w:p w14:paraId="3E64D1B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29"/>
      <w:jc w:val="center"/>
    </w:pPr>
    <w:r>
      <w:fldChar w:fldCharType="begin"/>
    </w:r>
    <w:r>
      <w:instrText xml:space="preserve">PAGE   \* MERGEFORMAT</w:instrText>
    </w:r>
    <w:r>
      <w:fldChar w:fldCharType="separate"/>
    </w:r>
    <w:r>
      <w:rPr>
        <w:lang w:val="zh-CN"/>
      </w:rPr>
      <w:t>27</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2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41</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34C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5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FjMjlkZGEyZTg0Y2RmNDE2MjA4ZWY3MWM3ODQ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739"/>
    <w:rsid w:val="000E1D03"/>
    <w:rsid w:val="000E2DF9"/>
    <w:rsid w:val="000E35AA"/>
    <w:rsid w:val="000E35E5"/>
    <w:rsid w:val="000E427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80"/>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0BF"/>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431A4A"/>
    <w:rsid w:val="0195685A"/>
    <w:rsid w:val="01D950F6"/>
    <w:rsid w:val="020531A4"/>
    <w:rsid w:val="0351417D"/>
    <w:rsid w:val="039A3ED8"/>
    <w:rsid w:val="03AA2C3F"/>
    <w:rsid w:val="03BA2CC2"/>
    <w:rsid w:val="04025F19"/>
    <w:rsid w:val="041B0C2F"/>
    <w:rsid w:val="041D1929"/>
    <w:rsid w:val="0445233E"/>
    <w:rsid w:val="046631AC"/>
    <w:rsid w:val="0470081E"/>
    <w:rsid w:val="047B4ECF"/>
    <w:rsid w:val="04EA61C1"/>
    <w:rsid w:val="055E1038"/>
    <w:rsid w:val="05612CD8"/>
    <w:rsid w:val="059066B3"/>
    <w:rsid w:val="05BC4131"/>
    <w:rsid w:val="05E82A41"/>
    <w:rsid w:val="05F173CA"/>
    <w:rsid w:val="061101D4"/>
    <w:rsid w:val="062045F8"/>
    <w:rsid w:val="06662DE7"/>
    <w:rsid w:val="06941DF2"/>
    <w:rsid w:val="06BC2299"/>
    <w:rsid w:val="06DF3697"/>
    <w:rsid w:val="070D1627"/>
    <w:rsid w:val="071C6FC5"/>
    <w:rsid w:val="071F3898"/>
    <w:rsid w:val="0740102F"/>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273800"/>
    <w:rsid w:val="0A41496A"/>
    <w:rsid w:val="0AE55849"/>
    <w:rsid w:val="0B165359"/>
    <w:rsid w:val="0B1A43A3"/>
    <w:rsid w:val="0B1D55AA"/>
    <w:rsid w:val="0B343A21"/>
    <w:rsid w:val="0BEB2FB1"/>
    <w:rsid w:val="0D6D6855"/>
    <w:rsid w:val="0D9B08BD"/>
    <w:rsid w:val="0DC82AB8"/>
    <w:rsid w:val="0DD61800"/>
    <w:rsid w:val="0DE20392"/>
    <w:rsid w:val="0DF51436"/>
    <w:rsid w:val="0E14592F"/>
    <w:rsid w:val="0E3D12C7"/>
    <w:rsid w:val="0EEA5280"/>
    <w:rsid w:val="0F0C4B39"/>
    <w:rsid w:val="0F2759E5"/>
    <w:rsid w:val="0F7E3778"/>
    <w:rsid w:val="0F8004BB"/>
    <w:rsid w:val="0FB071DF"/>
    <w:rsid w:val="0FEA20EF"/>
    <w:rsid w:val="10545532"/>
    <w:rsid w:val="10914FFE"/>
    <w:rsid w:val="10C45E22"/>
    <w:rsid w:val="111A6478"/>
    <w:rsid w:val="1183141E"/>
    <w:rsid w:val="11A42BB3"/>
    <w:rsid w:val="11A8079E"/>
    <w:rsid w:val="11AE47A1"/>
    <w:rsid w:val="11CC1E63"/>
    <w:rsid w:val="11CD1C9B"/>
    <w:rsid w:val="11DF3786"/>
    <w:rsid w:val="11F30DC5"/>
    <w:rsid w:val="125A5F17"/>
    <w:rsid w:val="12817F15"/>
    <w:rsid w:val="1284148E"/>
    <w:rsid w:val="12AD6790"/>
    <w:rsid w:val="12BF2796"/>
    <w:rsid w:val="12EF27DA"/>
    <w:rsid w:val="12F57DD8"/>
    <w:rsid w:val="13E2127B"/>
    <w:rsid w:val="14105EB0"/>
    <w:rsid w:val="14507A0B"/>
    <w:rsid w:val="145A7080"/>
    <w:rsid w:val="14894E98"/>
    <w:rsid w:val="15063646"/>
    <w:rsid w:val="15087518"/>
    <w:rsid w:val="1518570A"/>
    <w:rsid w:val="154104A0"/>
    <w:rsid w:val="1546345F"/>
    <w:rsid w:val="15682AA6"/>
    <w:rsid w:val="15A1686E"/>
    <w:rsid w:val="15AC59B8"/>
    <w:rsid w:val="15B81E09"/>
    <w:rsid w:val="15C37F6E"/>
    <w:rsid w:val="161171AC"/>
    <w:rsid w:val="16140702"/>
    <w:rsid w:val="161E3CC0"/>
    <w:rsid w:val="16214089"/>
    <w:rsid w:val="167B287C"/>
    <w:rsid w:val="16CF4C44"/>
    <w:rsid w:val="16DF1C51"/>
    <w:rsid w:val="16E41182"/>
    <w:rsid w:val="17502C0E"/>
    <w:rsid w:val="17825A06"/>
    <w:rsid w:val="17A56B63"/>
    <w:rsid w:val="17D413AF"/>
    <w:rsid w:val="17FE7CDB"/>
    <w:rsid w:val="18205602"/>
    <w:rsid w:val="186F5470"/>
    <w:rsid w:val="189A2E00"/>
    <w:rsid w:val="18AF23E0"/>
    <w:rsid w:val="191343F5"/>
    <w:rsid w:val="198A6011"/>
    <w:rsid w:val="19B16EF2"/>
    <w:rsid w:val="19BD63CC"/>
    <w:rsid w:val="19EF6388"/>
    <w:rsid w:val="1A254024"/>
    <w:rsid w:val="1A6B04CE"/>
    <w:rsid w:val="1AD64C17"/>
    <w:rsid w:val="1ADC2F19"/>
    <w:rsid w:val="1ADF18E9"/>
    <w:rsid w:val="1B094719"/>
    <w:rsid w:val="1B3F1AA6"/>
    <w:rsid w:val="1BE35BD3"/>
    <w:rsid w:val="1C1E6495"/>
    <w:rsid w:val="1C231486"/>
    <w:rsid w:val="1C3D5A92"/>
    <w:rsid w:val="1D073A17"/>
    <w:rsid w:val="1D0C476B"/>
    <w:rsid w:val="1D150CCF"/>
    <w:rsid w:val="1D150E4A"/>
    <w:rsid w:val="1D5369D2"/>
    <w:rsid w:val="1D9B4896"/>
    <w:rsid w:val="1DF20628"/>
    <w:rsid w:val="1EA145F0"/>
    <w:rsid w:val="1EB973DD"/>
    <w:rsid w:val="1EC23455"/>
    <w:rsid w:val="1EC70C6B"/>
    <w:rsid w:val="1F0C0CFB"/>
    <w:rsid w:val="1F336628"/>
    <w:rsid w:val="1F371C2F"/>
    <w:rsid w:val="1F527756"/>
    <w:rsid w:val="1F940C3D"/>
    <w:rsid w:val="1FA5265D"/>
    <w:rsid w:val="1FAA3A2E"/>
    <w:rsid w:val="1FAF0BB3"/>
    <w:rsid w:val="202A6865"/>
    <w:rsid w:val="20413686"/>
    <w:rsid w:val="208C2E72"/>
    <w:rsid w:val="20B813A3"/>
    <w:rsid w:val="20C71FF8"/>
    <w:rsid w:val="20DB1877"/>
    <w:rsid w:val="20F6344B"/>
    <w:rsid w:val="20FC53CE"/>
    <w:rsid w:val="215C4736"/>
    <w:rsid w:val="21881CE4"/>
    <w:rsid w:val="219D78D4"/>
    <w:rsid w:val="21B661A4"/>
    <w:rsid w:val="21BC55BD"/>
    <w:rsid w:val="21C432BD"/>
    <w:rsid w:val="221B3D2B"/>
    <w:rsid w:val="221B786D"/>
    <w:rsid w:val="22990DF4"/>
    <w:rsid w:val="22BE47BA"/>
    <w:rsid w:val="22DB1410"/>
    <w:rsid w:val="232841D4"/>
    <w:rsid w:val="237A3B82"/>
    <w:rsid w:val="23BF27AF"/>
    <w:rsid w:val="23C20825"/>
    <w:rsid w:val="23C579E4"/>
    <w:rsid w:val="23DC0EEC"/>
    <w:rsid w:val="24571544"/>
    <w:rsid w:val="247A0118"/>
    <w:rsid w:val="247B2B17"/>
    <w:rsid w:val="24B4D623"/>
    <w:rsid w:val="24DA3BA1"/>
    <w:rsid w:val="24EF3434"/>
    <w:rsid w:val="24F82E9D"/>
    <w:rsid w:val="25533BBB"/>
    <w:rsid w:val="258E3BBE"/>
    <w:rsid w:val="259572E3"/>
    <w:rsid w:val="259D1F7B"/>
    <w:rsid w:val="260D3FC7"/>
    <w:rsid w:val="267157B6"/>
    <w:rsid w:val="26F10B88"/>
    <w:rsid w:val="270B22EB"/>
    <w:rsid w:val="270D3C72"/>
    <w:rsid w:val="273A156E"/>
    <w:rsid w:val="276B2E11"/>
    <w:rsid w:val="278A18D2"/>
    <w:rsid w:val="27942803"/>
    <w:rsid w:val="27A6519D"/>
    <w:rsid w:val="27A67A03"/>
    <w:rsid w:val="27B534CC"/>
    <w:rsid w:val="27BA0A36"/>
    <w:rsid w:val="27BF223F"/>
    <w:rsid w:val="27DD4678"/>
    <w:rsid w:val="27F03E2A"/>
    <w:rsid w:val="27FB460E"/>
    <w:rsid w:val="2804263C"/>
    <w:rsid w:val="28362550"/>
    <w:rsid w:val="28427498"/>
    <w:rsid w:val="2875173D"/>
    <w:rsid w:val="289E23F3"/>
    <w:rsid w:val="28CE41A6"/>
    <w:rsid w:val="28D350BD"/>
    <w:rsid w:val="29BEB437"/>
    <w:rsid w:val="2A242E70"/>
    <w:rsid w:val="2A2B429D"/>
    <w:rsid w:val="2A306760"/>
    <w:rsid w:val="2A845C0B"/>
    <w:rsid w:val="2AFA1016"/>
    <w:rsid w:val="2B17347C"/>
    <w:rsid w:val="2B354727"/>
    <w:rsid w:val="2B6D3EBD"/>
    <w:rsid w:val="2B753532"/>
    <w:rsid w:val="2B7C1E9A"/>
    <w:rsid w:val="2B895973"/>
    <w:rsid w:val="2B8D3A26"/>
    <w:rsid w:val="2BAA23D2"/>
    <w:rsid w:val="2BD93972"/>
    <w:rsid w:val="2BFC6A45"/>
    <w:rsid w:val="2C573541"/>
    <w:rsid w:val="2C934D84"/>
    <w:rsid w:val="2CF41F8B"/>
    <w:rsid w:val="2D0D05FE"/>
    <w:rsid w:val="2D182AD8"/>
    <w:rsid w:val="2D496844"/>
    <w:rsid w:val="2D8A07A1"/>
    <w:rsid w:val="2DA28150"/>
    <w:rsid w:val="2E0F3F33"/>
    <w:rsid w:val="2E60513A"/>
    <w:rsid w:val="2E640EE2"/>
    <w:rsid w:val="2E872A16"/>
    <w:rsid w:val="2E87322E"/>
    <w:rsid w:val="2EA50F79"/>
    <w:rsid w:val="2EB0310C"/>
    <w:rsid w:val="2F0E5B01"/>
    <w:rsid w:val="2F1474CF"/>
    <w:rsid w:val="2F217151"/>
    <w:rsid w:val="2F2224D1"/>
    <w:rsid w:val="2F4C3D05"/>
    <w:rsid w:val="300F69FE"/>
    <w:rsid w:val="301A5EE8"/>
    <w:rsid w:val="305B528A"/>
    <w:rsid w:val="309C4BFF"/>
    <w:rsid w:val="30A1575F"/>
    <w:rsid w:val="3134170D"/>
    <w:rsid w:val="3196239A"/>
    <w:rsid w:val="31C4105A"/>
    <w:rsid w:val="31E76D0B"/>
    <w:rsid w:val="321C75CA"/>
    <w:rsid w:val="322F7824"/>
    <w:rsid w:val="327925E0"/>
    <w:rsid w:val="3295541B"/>
    <w:rsid w:val="32B43D17"/>
    <w:rsid w:val="33593A3B"/>
    <w:rsid w:val="339554D0"/>
    <w:rsid w:val="339E0D7E"/>
    <w:rsid w:val="33D9655A"/>
    <w:rsid w:val="33DE36C7"/>
    <w:rsid w:val="33E44AF3"/>
    <w:rsid w:val="341674CA"/>
    <w:rsid w:val="342F4D61"/>
    <w:rsid w:val="350D02F0"/>
    <w:rsid w:val="352874D4"/>
    <w:rsid w:val="355E0668"/>
    <w:rsid w:val="35AB2CA8"/>
    <w:rsid w:val="35E911FD"/>
    <w:rsid w:val="360A167A"/>
    <w:rsid w:val="36B92C2D"/>
    <w:rsid w:val="370F335E"/>
    <w:rsid w:val="37203A99"/>
    <w:rsid w:val="37882F80"/>
    <w:rsid w:val="378F6651"/>
    <w:rsid w:val="37932294"/>
    <w:rsid w:val="38274936"/>
    <w:rsid w:val="387C777D"/>
    <w:rsid w:val="38A21F68"/>
    <w:rsid w:val="38A60B8C"/>
    <w:rsid w:val="38AE3570"/>
    <w:rsid w:val="38C33ED6"/>
    <w:rsid w:val="38CE61CA"/>
    <w:rsid w:val="39213309"/>
    <w:rsid w:val="39423DBA"/>
    <w:rsid w:val="394B0B9C"/>
    <w:rsid w:val="39505428"/>
    <w:rsid w:val="39610843"/>
    <w:rsid w:val="39AA099D"/>
    <w:rsid w:val="39DB6F54"/>
    <w:rsid w:val="3A25250F"/>
    <w:rsid w:val="3A325BDD"/>
    <w:rsid w:val="3A8D328E"/>
    <w:rsid w:val="3ADD3CFD"/>
    <w:rsid w:val="3B256C4E"/>
    <w:rsid w:val="3B4E442B"/>
    <w:rsid w:val="3B7A0891"/>
    <w:rsid w:val="3C0B508A"/>
    <w:rsid w:val="3C30372A"/>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6D7300"/>
    <w:rsid w:val="40FF35C1"/>
    <w:rsid w:val="41361FC0"/>
    <w:rsid w:val="413C4A27"/>
    <w:rsid w:val="41C012FF"/>
    <w:rsid w:val="41E10C70"/>
    <w:rsid w:val="42935269"/>
    <w:rsid w:val="429A0303"/>
    <w:rsid w:val="429D7BEA"/>
    <w:rsid w:val="42CF666B"/>
    <w:rsid w:val="43287E40"/>
    <w:rsid w:val="43511F37"/>
    <w:rsid w:val="43524A08"/>
    <w:rsid w:val="435D5399"/>
    <w:rsid w:val="43888190"/>
    <w:rsid w:val="43996CCD"/>
    <w:rsid w:val="43D41C86"/>
    <w:rsid w:val="446F72EB"/>
    <w:rsid w:val="4492788B"/>
    <w:rsid w:val="44C01483"/>
    <w:rsid w:val="44C138E4"/>
    <w:rsid w:val="4522431B"/>
    <w:rsid w:val="452D5D67"/>
    <w:rsid w:val="45BD49BC"/>
    <w:rsid w:val="45F44B43"/>
    <w:rsid w:val="462835E3"/>
    <w:rsid w:val="46703E3E"/>
    <w:rsid w:val="472921D1"/>
    <w:rsid w:val="47385A50"/>
    <w:rsid w:val="47F2C001"/>
    <w:rsid w:val="47FC1919"/>
    <w:rsid w:val="48304DC3"/>
    <w:rsid w:val="48437CB3"/>
    <w:rsid w:val="4891428A"/>
    <w:rsid w:val="489F0449"/>
    <w:rsid w:val="48AE71C0"/>
    <w:rsid w:val="48E23EED"/>
    <w:rsid w:val="490177EE"/>
    <w:rsid w:val="49DF11B1"/>
    <w:rsid w:val="49E51FED"/>
    <w:rsid w:val="4A2675EB"/>
    <w:rsid w:val="4A6A5C4D"/>
    <w:rsid w:val="4AD02480"/>
    <w:rsid w:val="4AD12B24"/>
    <w:rsid w:val="4B103655"/>
    <w:rsid w:val="4B285638"/>
    <w:rsid w:val="4B8C2A00"/>
    <w:rsid w:val="4BA80AFE"/>
    <w:rsid w:val="4C76404E"/>
    <w:rsid w:val="4C7B446F"/>
    <w:rsid w:val="4C881917"/>
    <w:rsid w:val="4C9E19C0"/>
    <w:rsid w:val="4CA010CC"/>
    <w:rsid w:val="4CC60394"/>
    <w:rsid w:val="4CDF7A1B"/>
    <w:rsid w:val="4D2716BA"/>
    <w:rsid w:val="4D2C439F"/>
    <w:rsid w:val="4D51587D"/>
    <w:rsid w:val="4D534390"/>
    <w:rsid w:val="4DC71B74"/>
    <w:rsid w:val="4E387C78"/>
    <w:rsid w:val="4E6C5FF6"/>
    <w:rsid w:val="4E8746FC"/>
    <w:rsid w:val="4ECC7F56"/>
    <w:rsid w:val="4EE2331C"/>
    <w:rsid w:val="4EEF7987"/>
    <w:rsid w:val="4F093F4B"/>
    <w:rsid w:val="4F507E7D"/>
    <w:rsid w:val="4F5C75FB"/>
    <w:rsid w:val="4F7E21BC"/>
    <w:rsid w:val="4F842D56"/>
    <w:rsid w:val="4FAE11FC"/>
    <w:rsid w:val="4FBA6DB9"/>
    <w:rsid w:val="4FCF53F6"/>
    <w:rsid w:val="4FD51FF0"/>
    <w:rsid w:val="4FEF09F4"/>
    <w:rsid w:val="502D1C55"/>
    <w:rsid w:val="5080437D"/>
    <w:rsid w:val="51056EE7"/>
    <w:rsid w:val="514868EE"/>
    <w:rsid w:val="516C4956"/>
    <w:rsid w:val="51710677"/>
    <w:rsid w:val="51722FF6"/>
    <w:rsid w:val="519C5369"/>
    <w:rsid w:val="51A404F0"/>
    <w:rsid w:val="520E3ED4"/>
    <w:rsid w:val="523C3645"/>
    <w:rsid w:val="528B6F1A"/>
    <w:rsid w:val="52CC46DC"/>
    <w:rsid w:val="52D47AC0"/>
    <w:rsid w:val="53106DAB"/>
    <w:rsid w:val="536F1A94"/>
    <w:rsid w:val="5396417F"/>
    <w:rsid w:val="54224EA2"/>
    <w:rsid w:val="545F6C51"/>
    <w:rsid w:val="54877424"/>
    <w:rsid w:val="54941CE7"/>
    <w:rsid w:val="54ED1452"/>
    <w:rsid w:val="55004972"/>
    <w:rsid w:val="5537456C"/>
    <w:rsid w:val="5571600D"/>
    <w:rsid w:val="5583150B"/>
    <w:rsid w:val="568B745F"/>
    <w:rsid w:val="56A02F80"/>
    <w:rsid w:val="56A50CDA"/>
    <w:rsid w:val="56E2546E"/>
    <w:rsid w:val="56E32C4A"/>
    <w:rsid w:val="579E6214"/>
    <w:rsid w:val="57B56E2E"/>
    <w:rsid w:val="57D367F9"/>
    <w:rsid w:val="58987CD3"/>
    <w:rsid w:val="589E1F87"/>
    <w:rsid w:val="58BE5F74"/>
    <w:rsid w:val="58CC2633"/>
    <w:rsid w:val="58D16F7A"/>
    <w:rsid w:val="58E529E1"/>
    <w:rsid w:val="58F00A4E"/>
    <w:rsid w:val="59173FA0"/>
    <w:rsid w:val="596C2400"/>
    <w:rsid w:val="59FB30B7"/>
    <w:rsid w:val="5A0F25CF"/>
    <w:rsid w:val="5A1620C7"/>
    <w:rsid w:val="5A443198"/>
    <w:rsid w:val="5A494B51"/>
    <w:rsid w:val="5A4A649C"/>
    <w:rsid w:val="5A6873CB"/>
    <w:rsid w:val="5A9C0F81"/>
    <w:rsid w:val="5AAA0311"/>
    <w:rsid w:val="5AC864B9"/>
    <w:rsid w:val="5B6D74DA"/>
    <w:rsid w:val="5B7C0F56"/>
    <w:rsid w:val="5BDB5C3F"/>
    <w:rsid w:val="5BDC62F2"/>
    <w:rsid w:val="5C0349CC"/>
    <w:rsid w:val="5C0F5B4E"/>
    <w:rsid w:val="5C574AC3"/>
    <w:rsid w:val="5C7F6ACD"/>
    <w:rsid w:val="5CBD33F2"/>
    <w:rsid w:val="5D080CF3"/>
    <w:rsid w:val="5D2D66DB"/>
    <w:rsid w:val="5D4A4C0E"/>
    <w:rsid w:val="5DB04C90"/>
    <w:rsid w:val="5E4D7F51"/>
    <w:rsid w:val="5E6847AF"/>
    <w:rsid w:val="5E826883"/>
    <w:rsid w:val="5EB83F07"/>
    <w:rsid w:val="5EE22509"/>
    <w:rsid w:val="5F6D177F"/>
    <w:rsid w:val="5F7E0BC2"/>
    <w:rsid w:val="5FB05FBE"/>
    <w:rsid w:val="5FC41C75"/>
    <w:rsid w:val="5FDD42D4"/>
    <w:rsid w:val="5FEA2E72"/>
    <w:rsid w:val="600F2DDA"/>
    <w:rsid w:val="60314F4C"/>
    <w:rsid w:val="60606896"/>
    <w:rsid w:val="60EB1C49"/>
    <w:rsid w:val="610B690B"/>
    <w:rsid w:val="620333B0"/>
    <w:rsid w:val="624F2E86"/>
    <w:rsid w:val="625C251F"/>
    <w:rsid w:val="627C6F22"/>
    <w:rsid w:val="628C7FFB"/>
    <w:rsid w:val="62970423"/>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E2470D"/>
    <w:rsid w:val="65E669EC"/>
    <w:rsid w:val="66267799"/>
    <w:rsid w:val="66406C8C"/>
    <w:rsid w:val="667370B7"/>
    <w:rsid w:val="66944202"/>
    <w:rsid w:val="66DD7C50"/>
    <w:rsid w:val="66FB20D6"/>
    <w:rsid w:val="67015CF1"/>
    <w:rsid w:val="67157A1D"/>
    <w:rsid w:val="67730C4D"/>
    <w:rsid w:val="679C7AE2"/>
    <w:rsid w:val="67D07BF0"/>
    <w:rsid w:val="67DD7FE3"/>
    <w:rsid w:val="67DE621C"/>
    <w:rsid w:val="67FC0F5A"/>
    <w:rsid w:val="68581B13"/>
    <w:rsid w:val="686102B9"/>
    <w:rsid w:val="68760D47"/>
    <w:rsid w:val="694A1418"/>
    <w:rsid w:val="697A7E0B"/>
    <w:rsid w:val="69D50934"/>
    <w:rsid w:val="69F4312C"/>
    <w:rsid w:val="6A1030EB"/>
    <w:rsid w:val="6A495DAA"/>
    <w:rsid w:val="6AC53691"/>
    <w:rsid w:val="6AFC52A8"/>
    <w:rsid w:val="6B025340"/>
    <w:rsid w:val="6B173EB2"/>
    <w:rsid w:val="6B4D219F"/>
    <w:rsid w:val="6B824E99"/>
    <w:rsid w:val="6BF14162"/>
    <w:rsid w:val="6BFEB562"/>
    <w:rsid w:val="6C414AB2"/>
    <w:rsid w:val="6CAA479F"/>
    <w:rsid w:val="6D0C3CFA"/>
    <w:rsid w:val="6D297B3E"/>
    <w:rsid w:val="6D760048"/>
    <w:rsid w:val="6D8223FC"/>
    <w:rsid w:val="6DF14F1A"/>
    <w:rsid w:val="6DF6BB41"/>
    <w:rsid w:val="6E365989"/>
    <w:rsid w:val="6E5C1BB1"/>
    <w:rsid w:val="6E6733CC"/>
    <w:rsid w:val="6EA501C4"/>
    <w:rsid w:val="6EC74D03"/>
    <w:rsid w:val="6EEC6DFC"/>
    <w:rsid w:val="6F052E6B"/>
    <w:rsid w:val="6F402749"/>
    <w:rsid w:val="6F7001F4"/>
    <w:rsid w:val="6FB61452"/>
    <w:rsid w:val="6FE767F1"/>
    <w:rsid w:val="6FEF4336"/>
    <w:rsid w:val="701D3DDF"/>
    <w:rsid w:val="704A249D"/>
    <w:rsid w:val="70587404"/>
    <w:rsid w:val="705F2AD5"/>
    <w:rsid w:val="70866D23"/>
    <w:rsid w:val="708B5646"/>
    <w:rsid w:val="70C76A29"/>
    <w:rsid w:val="70C803F5"/>
    <w:rsid w:val="710A7415"/>
    <w:rsid w:val="711F38A9"/>
    <w:rsid w:val="712B0BDB"/>
    <w:rsid w:val="714D3CD1"/>
    <w:rsid w:val="71633523"/>
    <w:rsid w:val="71642515"/>
    <w:rsid w:val="717B764A"/>
    <w:rsid w:val="71813548"/>
    <w:rsid w:val="71AC4B85"/>
    <w:rsid w:val="71B40FF2"/>
    <w:rsid w:val="71CE4EA6"/>
    <w:rsid w:val="71EA5B48"/>
    <w:rsid w:val="71F159DB"/>
    <w:rsid w:val="722171B0"/>
    <w:rsid w:val="722B2C5E"/>
    <w:rsid w:val="72521BD3"/>
    <w:rsid w:val="72A93B14"/>
    <w:rsid w:val="72BF6C48"/>
    <w:rsid w:val="72C13030"/>
    <w:rsid w:val="72C42A56"/>
    <w:rsid w:val="72D30D83"/>
    <w:rsid w:val="72EC7885"/>
    <w:rsid w:val="72F02B78"/>
    <w:rsid w:val="73262704"/>
    <w:rsid w:val="73A60330"/>
    <w:rsid w:val="73A612D7"/>
    <w:rsid w:val="747316A8"/>
    <w:rsid w:val="74902A64"/>
    <w:rsid w:val="74BF0D6F"/>
    <w:rsid w:val="75897D5B"/>
    <w:rsid w:val="75913708"/>
    <w:rsid w:val="75C5050B"/>
    <w:rsid w:val="75E85834"/>
    <w:rsid w:val="76684159"/>
    <w:rsid w:val="76974C3B"/>
    <w:rsid w:val="76A65484"/>
    <w:rsid w:val="76B22232"/>
    <w:rsid w:val="76CC2CFF"/>
    <w:rsid w:val="76D0518F"/>
    <w:rsid w:val="76F46004"/>
    <w:rsid w:val="771865D2"/>
    <w:rsid w:val="776D0A7D"/>
    <w:rsid w:val="77846810"/>
    <w:rsid w:val="77892781"/>
    <w:rsid w:val="787E7E59"/>
    <w:rsid w:val="78874C07"/>
    <w:rsid w:val="789C5F68"/>
    <w:rsid w:val="78D13249"/>
    <w:rsid w:val="78E830CF"/>
    <w:rsid w:val="78F3511F"/>
    <w:rsid w:val="79093136"/>
    <w:rsid w:val="79183C14"/>
    <w:rsid w:val="791F1552"/>
    <w:rsid w:val="7942768C"/>
    <w:rsid w:val="7966337A"/>
    <w:rsid w:val="79871516"/>
    <w:rsid w:val="79CB5C60"/>
    <w:rsid w:val="79DC2E94"/>
    <w:rsid w:val="79E75892"/>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1135E0"/>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57"/>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4">
    <w:name w:val="heading 2"/>
    <w:basedOn w:val="1"/>
    <w:next w:val="1"/>
    <w:link w:val="58"/>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59"/>
    <w:autoRedefine/>
    <w:qFormat/>
    <w:uiPriority w:val="0"/>
    <w:pPr>
      <w:keepNext/>
      <w:keepLines/>
      <w:spacing w:before="260" w:after="260" w:line="413" w:lineRule="auto"/>
      <w:outlineLvl w:val="2"/>
    </w:pPr>
    <w:rPr>
      <w:b/>
      <w:bCs/>
      <w:kern w:val="2"/>
      <w:sz w:val="32"/>
      <w:szCs w:val="32"/>
    </w:rPr>
  </w:style>
  <w:style w:type="paragraph" w:styleId="2">
    <w:name w:val="heading 4"/>
    <w:basedOn w:val="1"/>
    <w:next w:val="1"/>
    <w:link w:val="60"/>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1"/>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2"/>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7"/>
    <w:autoRedefine/>
    <w:qFormat/>
    <w:uiPriority w:val="0"/>
    <w:pPr>
      <w:adjustRightInd w:val="0"/>
      <w:spacing w:line="312" w:lineRule="atLeast"/>
      <w:ind w:firstLine="420"/>
      <w:textAlignment w:val="baseline"/>
    </w:pPr>
    <w:rPr>
      <w:szCs w:val="20"/>
    </w:rPr>
  </w:style>
  <w:style w:type="paragraph" w:styleId="12">
    <w:name w:val="caption"/>
    <w:basedOn w:val="1"/>
    <w:next w:val="1"/>
    <w:autoRedefine/>
    <w:qFormat/>
    <w:uiPriority w:val="0"/>
    <w:rPr>
      <w:rFonts w:ascii="Calibri Light" w:hAnsi="Calibri Light" w:eastAsia="黑体"/>
      <w:sz w:val="20"/>
      <w:szCs w:val="20"/>
    </w:rPr>
  </w:style>
  <w:style w:type="paragraph" w:styleId="13">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link w:val="68"/>
    <w:autoRedefine/>
    <w:qFormat/>
    <w:uiPriority w:val="0"/>
    <w:pPr>
      <w:shd w:val="clear" w:color="auto" w:fill="000080"/>
    </w:pPr>
    <w:rPr>
      <w:kern w:val="2"/>
    </w:rPr>
  </w:style>
  <w:style w:type="paragraph" w:styleId="15">
    <w:name w:val="annotation text"/>
    <w:basedOn w:val="1"/>
    <w:link w:val="69"/>
    <w:autoRedefine/>
    <w:qFormat/>
    <w:uiPriority w:val="0"/>
    <w:pPr>
      <w:jc w:val="left"/>
    </w:pPr>
    <w:rPr>
      <w:kern w:val="2"/>
    </w:rPr>
  </w:style>
  <w:style w:type="paragraph" w:styleId="16">
    <w:name w:val="Salutation"/>
    <w:basedOn w:val="1"/>
    <w:next w:val="1"/>
    <w:link w:val="70"/>
    <w:autoRedefine/>
    <w:qFormat/>
    <w:uiPriority w:val="0"/>
    <w:rPr>
      <w:kern w:val="2"/>
      <w:sz w:val="24"/>
    </w:rPr>
  </w:style>
  <w:style w:type="paragraph" w:styleId="17">
    <w:name w:val="Body Text"/>
    <w:basedOn w:val="1"/>
    <w:next w:val="18"/>
    <w:link w:val="71"/>
    <w:autoRedefine/>
    <w:qFormat/>
    <w:uiPriority w:val="99"/>
    <w:pPr>
      <w:spacing w:after="120"/>
    </w:pPr>
    <w:rPr>
      <w:kern w:val="2"/>
    </w:rPr>
  </w:style>
  <w:style w:type="paragraph" w:styleId="18">
    <w:name w:val="Body Text First Indent"/>
    <w:basedOn w:val="17"/>
    <w:next w:val="19"/>
    <w:autoRedefine/>
    <w:qFormat/>
    <w:uiPriority w:val="0"/>
    <w:pPr>
      <w:ind w:firstLine="420" w:firstLineChars="100"/>
    </w:pPr>
  </w:style>
  <w:style w:type="paragraph" w:styleId="19">
    <w:name w:val="toc 6"/>
    <w:basedOn w:val="1"/>
    <w:next w:val="1"/>
    <w:autoRedefine/>
    <w:semiHidden/>
    <w:qFormat/>
    <w:uiPriority w:val="0"/>
    <w:pPr>
      <w:ind w:left="1050"/>
      <w:jc w:val="left"/>
    </w:pPr>
    <w:rPr>
      <w:sz w:val="18"/>
      <w:szCs w:val="18"/>
    </w:rPr>
  </w:style>
  <w:style w:type="paragraph" w:styleId="20">
    <w:name w:val="Body Text Indent"/>
    <w:basedOn w:val="1"/>
    <w:next w:val="1"/>
    <w:link w:val="55"/>
    <w:autoRedefine/>
    <w:qFormat/>
    <w:uiPriority w:val="0"/>
    <w:pPr>
      <w:ind w:left="480" w:hanging="480" w:hangingChars="200"/>
    </w:pPr>
    <w:rPr>
      <w:kern w:val="2"/>
      <w:sz w:val="24"/>
    </w:rPr>
  </w:style>
  <w:style w:type="paragraph" w:styleId="21">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autoRedefine/>
    <w:qFormat/>
    <w:uiPriority w:val="0"/>
    <w:pPr>
      <w:tabs>
        <w:tab w:val="left" w:pos="780"/>
      </w:tabs>
      <w:ind w:left="780" w:hanging="360"/>
    </w:pPr>
    <w:rPr>
      <w:szCs w:val="20"/>
    </w:rPr>
  </w:style>
  <w:style w:type="paragraph" w:styleId="23">
    <w:name w:val="index 4"/>
    <w:basedOn w:val="1"/>
    <w:next w:val="1"/>
    <w:unhideWhenUsed/>
    <w:qFormat/>
    <w:uiPriority w:val="99"/>
    <w:pPr>
      <w:ind w:left="600" w:leftChars="600"/>
    </w:pPr>
  </w:style>
  <w:style w:type="paragraph" w:styleId="24">
    <w:name w:val="toc 3"/>
    <w:basedOn w:val="1"/>
    <w:next w:val="1"/>
    <w:autoRedefine/>
    <w:semiHidden/>
    <w:unhideWhenUsed/>
    <w:qFormat/>
    <w:uiPriority w:val="0"/>
    <w:pPr>
      <w:ind w:left="840" w:leftChars="400"/>
    </w:pPr>
  </w:style>
  <w:style w:type="paragraph" w:styleId="25">
    <w:name w:val="Plain Text"/>
    <w:basedOn w:val="1"/>
    <w:link w:val="74"/>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6">
    <w:name w:val="Date"/>
    <w:basedOn w:val="1"/>
    <w:next w:val="1"/>
    <w:link w:val="76"/>
    <w:autoRedefine/>
    <w:qFormat/>
    <w:uiPriority w:val="0"/>
    <w:pPr>
      <w:ind w:left="100" w:leftChars="2500"/>
    </w:pPr>
    <w:rPr>
      <w:kern w:val="2"/>
      <w:szCs w:val="20"/>
    </w:rPr>
  </w:style>
  <w:style w:type="paragraph" w:styleId="27">
    <w:name w:val="Body Text Indent 2"/>
    <w:basedOn w:val="1"/>
    <w:link w:val="77"/>
    <w:autoRedefine/>
    <w:qFormat/>
    <w:uiPriority w:val="0"/>
    <w:pPr>
      <w:spacing w:line="500" w:lineRule="exact"/>
      <w:ind w:firstLine="511" w:firstLineChars="213"/>
    </w:pPr>
    <w:rPr>
      <w:kern w:val="2"/>
      <w:sz w:val="24"/>
    </w:rPr>
  </w:style>
  <w:style w:type="paragraph" w:styleId="28">
    <w:name w:val="Balloon Text"/>
    <w:basedOn w:val="1"/>
    <w:link w:val="78"/>
    <w:autoRedefine/>
    <w:qFormat/>
    <w:uiPriority w:val="0"/>
    <w:rPr>
      <w:kern w:val="2"/>
      <w:sz w:val="18"/>
      <w:szCs w:val="18"/>
    </w:rPr>
  </w:style>
  <w:style w:type="paragraph" w:styleId="29">
    <w:name w:val="footer"/>
    <w:basedOn w:val="1"/>
    <w:link w:val="79"/>
    <w:autoRedefine/>
    <w:qFormat/>
    <w:uiPriority w:val="99"/>
    <w:pPr>
      <w:tabs>
        <w:tab w:val="center" w:pos="4153"/>
        <w:tab w:val="right" w:pos="8306"/>
      </w:tabs>
      <w:snapToGrid w:val="0"/>
      <w:jc w:val="left"/>
    </w:pPr>
    <w:rPr>
      <w:kern w:val="2"/>
      <w:sz w:val="18"/>
      <w:szCs w:val="18"/>
    </w:rPr>
  </w:style>
  <w:style w:type="paragraph" w:styleId="30">
    <w:name w:val="header"/>
    <w:basedOn w:val="1"/>
    <w:link w:val="80"/>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31">
    <w:name w:val="toc 1"/>
    <w:basedOn w:val="1"/>
    <w:next w:val="1"/>
    <w:autoRedefine/>
    <w:unhideWhenUsed/>
    <w:qFormat/>
    <w:uiPriority w:val="39"/>
    <w:pPr>
      <w:tabs>
        <w:tab w:val="right" w:leader="dot" w:pos="9628"/>
      </w:tabs>
    </w:pPr>
  </w:style>
  <w:style w:type="paragraph" w:styleId="32">
    <w:name w:val="Body Text Indent 3"/>
    <w:basedOn w:val="1"/>
    <w:link w:val="84"/>
    <w:autoRedefine/>
    <w:qFormat/>
    <w:uiPriority w:val="0"/>
    <w:pPr>
      <w:spacing w:line="500" w:lineRule="exact"/>
      <w:ind w:left="511" w:hanging="511" w:hangingChars="213"/>
    </w:pPr>
    <w:rPr>
      <w:kern w:val="2"/>
      <w:sz w:val="24"/>
    </w:rPr>
  </w:style>
  <w:style w:type="paragraph" w:styleId="33">
    <w:name w:val="toc 2"/>
    <w:basedOn w:val="1"/>
    <w:next w:val="1"/>
    <w:autoRedefine/>
    <w:unhideWhenUsed/>
    <w:qFormat/>
    <w:uiPriority w:val="39"/>
    <w:pPr>
      <w:ind w:left="420" w:leftChars="200"/>
    </w:pPr>
  </w:style>
  <w:style w:type="paragraph" w:styleId="34">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5">
    <w:name w:val="Title"/>
    <w:basedOn w:val="1"/>
    <w:next w:val="1"/>
    <w:link w:val="87"/>
    <w:autoRedefine/>
    <w:qFormat/>
    <w:uiPriority w:val="0"/>
    <w:pPr>
      <w:spacing w:before="240" w:after="60" w:line="460" w:lineRule="exact"/>
      <w:jc w:val="center"/>
      <w:outlineLvl w:val="0"/>
    </w:pPr>
    <w:rPr>
      <w:rFonts w:ascii="Arial" w:hAnsi="Arial"/>
      <w:b/>
      <w:spacing w:val="14"/>
      <w:kern w:val="24"/>
      <w:sz w:val="32"/>
      <w:szCs w:val="20"/>
    </w:rPr>
  </w:style>
  <w:style w:type="paragraph" w:styleId="36">
    <w:name w:val="annotation subject"/>
    <w:basedOn w:val="15"/>
    <w:next w:val="15"/>
    <w:link w:val="88"/>
    <w:autoRedefine/>
    <w:qFormat/>
    <w:uiPriority w:val="0"/>
    <w:rPr>
      <w:b/>
      <w:bCs/>
    </w:rPr>
  </w:style>
  <w:style w:type="paragraph" w:styleId="37">
    <w:name w:val="Body Text First Indent 2"/>
    <w:basedOn w:val="20"/>
    <w:next w:val="18"/>
    <w:autoRedefine/>
    <w:qFormat/>
    <w:uiPriority w:val="0"/>
    <w:pPr>
      <w:ind w:left="200" w:leftChars="200"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rFonts w:ascii="Times New Roman" w:hAnsi="Times New Roman" w:eastAsia="宋体" w:cs="Times New Roman"/>
      <w:b/>
      <w:bCs/>
    </w:rPr>
  </w:style>
  <w:style w:type="character" w:styleId="42">
    <w:name w:val="page number"/>
    <w:autoRedefine/>
    <w:qFormat/>
    <w:uiPriority w:val="0"/>
    <w:rPr>
      <w:rFonts w:ascii="Times New Roman" w:hAnsi="Times New Roman" w:eastAsia="宋体" w:cs="Times New Roman"/>
    </w:rPr>
  </w:style>
  <w:style w:type="character" w:styleId="43">
    <w:name w:val="Emphasis"/>
    <w:autoRedefine/>
    <w:qFormat/>
    <w:uiPriority w:val="0"/>
    <w:rPr>
      <w:rFonts w:ascii="Times New Roman" w:hAnsi="Times New Roman" w:eastAsia="宋体" w:cs="Times New Roman"/>
      <w:b/>
    </w:rPr>
  </w:style>
  <w:style w:type="character" w:styleId="44">
    <w:name w:val="HTML Definition"/>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99"/>
    <w:rPr>
      <w:rFonts w:ascii="Times New Roman" w:hAnsi="Times New Roman" w:eastAsia="宋体" w:cs="Times New Roman"/>
      <w:color w:val="000000"/>
      <w:sz w:val="21"/>
      <w:szCs w:val="21"/>
      <w:u w:val="none"/>
    </w:rPr>
  </w:style>
  <w:style w:type="character" w:styleId="47">
    <w:name w:val="HTML Code"/>
    <w:autoRedefine/>
    <w:qFormat/>
    <w:uiPriority w:val="0"/>
    <w:rPr>
      <w:rFonts w:ascii="Courier New" w:hAnsi="Courier New" w:eastAsia="宋体" w:cs="Times New Roman"/>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ascii="Courier New" w:hAnsi="Courier New" w:eastAsia="宋体" w:cs="Times New Roman"/>
      <w:sz w:val="20"/>
    </w:rPr>
  </w:style>
  <w:style w:type="character" w:styleId="51">
    <w:name w:val="HTML Sample"/>
    <w:autoRedefine/>
    <w:qFormat/>
    <w:uiPriority w:val="0"/>
    <w:rPr>
      <w:rFonts w:ascii="Courier New" w:hAnsi="Courier New" w:eastAsia="宋体" w:cs="Times New Roman"/>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文本首行缩进1"/>
    <w:basedOn w:val="17"/>
    <w:autoRedefine/>
    <w:qFormat/>
    <w:uiPriority w:val="0"/>
    <w:pPr>
      <w:ind w:firstLine="420"/>
    </w:pPr>
  </w:style>
  <w:style w:type="paragraph" w:customStyle="1" w:styleId="54">
    <w:name w:val="正文文本首行缩进 21"/>
    <w:basedOn w:val="20"/>
    <w:link w:val="56"/>
    <w:autoRedefine/>
    <w:qFormat/>
    <w:uiPriority w:val="0"/>
    <w:pPr>
      <w:spacing w:after="120"/>
      <w:ind w:left="420" w:leftChars="200" w:firstLine="420" w:firstLineChars="200"/>
    </w:pPr>
    <w:rPr>
      <w:rFonts w:ascii="仿宋_GB2312" w:eastAsia="仿宋_GB2312"/>
      <w:sz w:val="28"/>
      <w:szCs w:val="28"/>
    </w:rPr>
  </w:style>
  <w:style w:type="character" w:customStyle="1" w:styleId="55">
    <w:name w:val="正文文本缩进 字符"/>
    <w:link w:val="20"/>
    <w:autoRedefine/>
    <w:qFormat/>
    <w:uiPriority w:val="0"/>
    <w:rPr>
      <w:rFonts w:ascii="Times New Roman" w:hAnsi="Times New Roman" w:eastAsia="宋体" w:cs="Times New Roman"/>
      <w:kern w:val="2"/>
      <w:sz w:val="24"/>
      <w:szCs w:val="24"/>
    </w:rPr>
  </w:style>
  <w:style w:type="character" w:customStyle="1" w:styleId="56">
    <w:name w:val="正文文本首行缩进 2 字符"/>
    <w:link w:val="54"/>
    <w:autoRedefine/>
    <w:qFormat/>
    <w:uiPriority w:val="0"/>
    <w:rPr>
      <w:rFonts w:ascii="仿宋_GB2312" w:hAnsi="Times New Roman" w:eastAsia="仿宋_GB2312" w:cs="Times New Roman"/>
      <w:kern w:val="2"/>
      <w:sz w:val="28"/>
      <w:szCs w:val="28"/>
      <w:lang w:val="en-US" w:eastAsia="zh-CN" w:bidi="ar-SA"/>
    </w:rPr>
  </w:style>
  <w:style w:type="character" w:customStyle="1" w:styleId="57">
    <w:name w:val="标题 1 字符"/>
    <w:link w:val="3"/>
    <w:autoRedefine/>
    <w:qFormat/>
    <w:uiPriority w:val="0"/>
    <w:rPr>
      <w:rFonts w:ascii="宋体" w:hAnsi="Times New Roman" w:eastAsia="宋体" w:cs="Times New Roman"/>
      <w:b/>
      <w:kern w:val="44"/>
      <w:sz w:val="24"/>
    </w:rPr>
  </w:style>
  <w:style w:type="character" w:customStyle="1" w:styleId="58">
    <w:name w:val="标题 2 字符"/>
    <w:link w:val="4"/>
    <w:autoRedefine/>
    <w:qFormat/>
    <w:uiPriority w:val="9"/>
    <w:rPr>
      <w:rFonts w:ascii="Arial" w:hAnsi="Arial" w:eastAsia="黑体" w:cs="Times New Roman"/>
      <w:b/>
      <w:bCs/>
      <w:kern w:val="2"/>
      <w:sz w:val="32"/>
      <w:szCs w:val="32"/>
    </w:rPr>
  </w:style>
  <w:style w:type="character" w:customStyle="1" w:styleId="59">
    <w:name w:val="标题 3 字符"/>
    <w:link w:val="5"/>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2"/>
    <w:autoRedefine/>
    <w:qFormat/>
    <w:uiPriority w:val="9"/>
    <w:rPr>
      <w:rFonts w:ascii="Arial" w:hAnsi="Arial" w:eastAsia="Times New Roman" w:cs="Times New Roman"/>
      <w:b/>
      <w:bCs/>
      <w:kern w:val="2"/>
      <w:sz w:val="28"/>
      <w:szCs w:val="28"/>
    </w:rPr>
  </w:style>
  <w:style w:type="character" w:customStyle="1" w:styleId="61">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2">
    <w:name w:val="标题 6 字符"/>
    <w:link w:val="7"/>
    <w:autoRedefine/>
    <w:qFormat/>
    <w:uiPriority w:val="0"/>
    <w:rPr>
      <w:rFonts w:ascii="Arial" w:hAnsi="Arial" w:eastAsia="黑体" w:cs="Times New Roman"/>
      <w:b/>
      <w:bCs/>
      <w:kern w:val="2"/>
      <w:sz w:val="24"/>
      <w:szCs w:val="24"/>
    </w:rPr>
  </w:style>
  <w:style w:type="character" w:customStyle="1" w:styleId="63">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4">
    <w:name w:val="标题 8 字符"/>
    <w:link w:val="9"/>
    <w:autoRedefine/>
    <w:qFormat/>
    <w:uiPriority w:val="0"/>
    <w:rPr>
      <w:rFonts w:ascii="Arial" w:hAnsi="Arial" w:eastAsia="黑体" w:cs="Times New Roman"/>
      <w:kern w:val="2"/>
      <w:sz w:val="24"/>
      <w:szCs w:val="24"/>
    </w:rPr>
  </w:style>
  <w:style w:type="character" w:customStyle="1" w:styleId="65">
    <w:name w:val="标题 9 字符"/>
    <w:link w:val="10"/>
    <w:autoRedefine/>
    <w:qFormat/>
    <w:uiPriority w:val="0"/>
    <w:rPr>
      <w:rFonts w:ascii="Arial" w:hAnsi="Arial" w:eastAsia="黑体" w:cs="Times New Roman"/>
      <w:kern w:val="2"/>
      <w:sz w:val="21"/>
      <w:szCs w:val="21"/>
    </w:rPr>
  </w:style>
  <w:style w:type="paragraph" w:customStyle="1" w:styleId="66">
    <w:name w:val="TOC 71"/>
    <w:basedOn w:val="1"/>
    <w:next w:val="1"/>
    <w:autoRedefine/>
    <w:qFormat/>
    <w:uiPriority w:val="0"/>
    <w:pPr>
      <w:ind w:left="1260"/>
      <w:jc w:val="left"/>
    </w:pPr>
    <w:rPr>
      <w:sz w:val="18"/>
      <w:szCs w:val="18"/>
    </w:rPr>
  </w:style>
  <w:style w:type="character" w:customStyle="1" w:styleId="67">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68">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字符2"/>
    <w:link w:val="15"/>
    <w:autoRedefine/>
    <w:qFormat/>
    <w:uiPriority w:val="0"/>
    <w:rPr>
      <w:rFonts w:ascii="Times New Roman" w:hAnsi="Times New Roman" w:eastAsia="宋体" w:cs="Times New Roman"/>
      <w:kern w:val="2"/>
      <w:sz w:val="21"/>
      <w:szCs w:val="24"/>
    </w:rPr>
  </w:style>
  <w:style w:type="character" w:customStyle="1" w:styleId="70">
    <w:name w:val="称呼 字符"/>
    <w:link w:val="16"/>
    <w:autoRedefine/>
    <w:qFormat/>
    <w:uiPriority w:val="0"/>
    <w:rPr>
      <w:rFonts w:ascii="Times New Roman" w:hAnsi="Times New Roman" w:eastAsia="宋体" w:cs="Times New Roman"/>
      <w:kern w:val="2"/>
      <w:sz w:val="24"/>
      <w:szCs w:val="24"/>
    </w:rPr>
  </w:style>
  <w:style w:type="character" w:customStyle="1" w:styleId="71">
    <w:name w:val="正文文本 字符1"/>
    <w:link w:val="17"/>
    <w:autoRedefine/>
    <w:qFormat/>
    <w:uiPriority w:val="0"/>
    <w:rPr>
      <w:rFonts w:ascii="Times New Roman" w:hAnsi="Times New Roman" w:eastAsia="宋体" w:cs="Times New Roman"/>
      <w:kern w:val="2"/>
      <w:sz w:val="21"/>
      <w:szCs w:val="24"/>
    </w:rPr>
  </w:style>
  <w:style w:type="paragraph" w:customStyle="1" w:styleId="72">
    <w:name w:val="TOC 51"/>
    <w:basedOn w:val="1"/>
    <w:next w:val="1"/>
    <w:autoRedefine/>
    <w:qFormat/>
    <w:uiPriority w:val="0"/>
    <w:pPr>
      <w:ind w:left="840"/>
      <w:jc w:val="left"/>
    </w:pPr>
    <w:rPr>
      <w:sz w:val="18"/>
      <w:szCs w:val="18"/>
    </w:rPr>
  </w:style>
  <w:style w:type="paragraph" w:customStyle="1" w:styleId="73">
    <w:name w:val="TOC 31"/>
    <w:basedOn w:val="1"/>
    <w:next w:val="1"/>
    <w:autoRedefine/>
    <w:qFormat/>
    <w:uiPriority w:val="0"/>
    <w:pPr>
      <w:ind w:left="420"/>
      <w:jc w:val="left"/>
    </w:pPr>
    <w:rPr>
      <w:i/>
      <w:iCs/>
      <w:sz w:val="20"/>
      <w:szCs w:val="20"/>
    </w:rPr>
  </w:style>
  <w:style w:type="character" w:customStyle="1" w:styleId="74">
    <w:name w:val="纯文本 字符1"/>
    <w:link w:val="25"/>
    <w:autoRedefine/>
    <w:qFormat/>
    <w:uiPriority w:val="0"/>
    <w:rPr>
      <w:rFonts w:ascii="宋体" w:hAnsi="Courier New" w:eastAsia="宋体" w:cs="Times New Roman"/>
      <w:sz w:val="21"/>
      <w:szCs w:val="21"/>
      <w:lang w:val="en-US" w:eastAsia="zh-CN" w:bidi="ar-SA"/>
    </w:rPr>
  </w:style>
  <w:style w:type="paragraph" w:customStyle="1" w:styleId="75">
    <w:name w:val="TOC 81"/>
    <w:basedOn w:val="1"/>
    <w:next w:val="1"/>
    <w:autoRedefine/>
    <w:qFormat/>
    <w:uiPriority w:val="0"/>
    <w:pPr>
      <w:ind w:left="1470"/>
      <w:jc w:val="left"/>
    </w:pPr>
    <w:rPr>
      <w:sz w:val="18"/>
      <w:szCs w:val="18"/>
    </w:rPr>
  </w:style>
  <w:style w:type="character" w:customStyle="1" w:styleId="76">
    <w:name w:val="日期 字符1"/>
    <w:link w:val="26"/>
    <w:autoRedefine/>
    <w:qFormat/>
    <w:uiPriority w:val="0"/>
    <w:rPr>
      <w:rFonts w:ascii="Times New Roman" w:hAnsi="Times New Roman" w:eastAsia="宋体" w:cs="Times New Roman"/>
      <w:kern w:val="2"/>
      <w:sz w:val="21"/>
    </w:rPr>
  </w:style>
  <w:style w:type="character" w:customStyle="1" w:styleId="77">
    <w:name w:val="正文文本缩进 2 字符"/>
    <w:link w:val="27"/>
    <w:autoRedefine/>
    <w:qFormat/>
    <w:uiPriority w:val="0"/>
    <w:rPr>
      <w:rFonts w:ascii="Times New Roman" w:hAnsi="Times New Roman" w:eastAsia="宋体" w:cs="Times New Roman"/>
      <w:kern w:val="2"/>
      <w:sz w:val="24"/>
      <w:szCs w:val="24"/>
      <w:lang w:val="en-US" w:eastAsia="zh-CN" w:bidi="ar-SA"/>
    </w:rPr>
  </w:style>
  <w:style w:type="character" w:customStyle="1" w:styleId="78">
    <w:name w:val="批注框文本 字符"/>
    <w:link w:val="28"/>
    <w:autoRedefine/>
    <w:qFormat/>
    <w:uiPriority w:val="0"/>
    <w:rPr>
      <w:rFonts w:ascii="Times New Roman" w:hAnsi="Times New Roman" w:eastAsia="宋体" w:cs="Times New Roman"/>
      <w:kern w:val="2"/>
      <w:sz w:val="18"/>
      <w:szCs w:val="18"/>
    </w:rPr>
  </w:style>
  <w:style w:type="character" w:customStyle="1" w:styleId="79">
    <w:name w:val="页脚 字符"/>
    <w:link w:val="29"/>
    <w:autoRedefine/>
    <w:qFormat/>
    <w:uiPriority w:val="99"/>
    <w:rPr>
      <w:rFonts w:ascii="Times New Roman" w:hAnsi="Times New Roman" w:eastAsia="宋体" w:cs="Times New Roman"/>
      <w:kern w:val="2"/>
      <w:sz w:val="18"/>
      <w:szCs w:val="18"/>
    </w:rPr>
  </w:style>
  <w:style w:type="character" w:customStyle="1" w:styleId="80">
    <w:name w:val="页眉 字符"/>
    <w:link w:val="30"/>
    <w:autoRedefine/>
    <w:qFormat/>
    <w:uiPriority w:val="99"/>
    <w:rPr>
      <w:rFonts w:ascii="Times New Roman" w:hAnsi="Times New Roman" w:eastAsia="宋体" w:cs="Times New Roman"/>
      <w:kern w:val="2"/>
      <w:sz w:val="18"/>
      <w:szCs w:val="18"/>
    </w:rPr>
  </w:style>
  <w:style w:type="paragraph" w:customStyle="1" w:styleId="81">
    <w:name w:val="TOC 11"/>
    <w:basedOn w:val="1"/>
    <w:next w:val="1"/>
    <w:autoRedefine/>
    <w:qFormat/>
    <w:uiPriority w:val="39"/>
    <w:pPr>
      <w:spacing w:before="120" w:after="120"/>
      <w:jc w:val="left"/>
    </w:pPr>
    <w:rPr>
      <w:b/>
      <w:bCs/>
      <w:caps/>
      <w:sz w:val="20"/>
      <w:szCs w:val="20"/>
    </w:rPr>
  </w:style>
  <w:style w:type="paragraph" w:customStyle="1" w:styleId="82">
    <w:name w:val="TOC 41"/>
    <w:basedOn w:val="1"/>
    <w:next w:val="1"/>
    <w:autoRedefine/>
    <w:qFormat/>
    <w:uiPriority w:val="0"/>
    <w:pPr>
      <w:ind w:left="630"/>
      <w:jc w:val="left"/>
    </w:pPr>
    <w:rPr>
      <w:sz w:val="18"/>
      <w:szCs w:val="18"/>
    </w:rPr>
  </w:style>
  <w:style w:type="paragraph" w:customStyle="1" w:styleId="83">
    <w:name w:val="TOC 61"/>
    <w:basedOn w:val="1"/>
    <w:next w:val="1"/>
    <w:autoRedefine/>
    <w:qFormat/>
    <w:uiPriority w:val="0"/>
    <w:pPr>
      <w:ind w:left="1050"/>
      <w:jc w:val="left"/>
    </w:pPr>
    <w:rPr>
      <w:sz w:val="18"/>
      <w:szCs w:val="18"/>
    </w:rPr>
  </w:style>
  <w:style w:type="character" w:customStyle="1" w:styleId="84">
    <w:name w:val="正文文本缩进 3 字符"/>
    <w:link w:val="32"/>
    <w:autoRedefine/>
    <w:qFormat/>
    <w:uiPriority w:val="0"/>
    <w:rPr>
      <w:rFonts w:ascii="Times New Roman" w:hAnsi="Times New Roman" w:eastAsia="宋体" w:cs="Times New Roman"/>
      <w:kern w:val="2"/>
      <w:sz w:val="24"/>
      <w:szCs w:val="24"/>
    </w:rPr>
  </w:style>
  <w:style w:type="paragraph" w:customStyle="1" w:styleId="85">
    <w:name w:val="TOC 21"/>
    <w:basedOn w:val="1"/>
    <w:next w:val="1"/>
    <w:autoRedefine/>
    <w:qFormat/>
    <w:uiPriority w:val="39"/>
    <w:pPr>
      <w:ind w:left="210"/>
      <w:jc w:val="left"/>
    </w:pPr>
    <w:rPr>
      <w:smallCaps/>
      <w:sz w:val="20"/>
      <w:szCs w:val="20"/>
    </w:rPr>
  </w:style>
  <w:style w:type="paragraph" w:customStyle="1" w:styleId="86">
    <w:name w:val="TOC 91"/>
    <w:basedOn w:val="1"/>
    <w:next w:val="1"/>
    <w:autoRedefine/>
    <w:qFormat/>
    <w:uiPriority w:val="0"/>
    <w:pPr>
      <w:ind w:left="1680"/>
      <w:jc w:val="left"/>
    </w:pPr>
    <w:rPr>
      <w:sz w:val="18"/>
      <w:szCs w:val="18"/>
    </w:rPr>
  </w:style>
  <w:style w:type="character" w:customStyle="1" w:styleId="87">
    <w:name w:val="标题 字符"/>
    <w:link w:val="35"/>
    <w:autoRedefine/>
    <w:qFormat/>
    <w:uiPriority w:val="0"/>
    <w:rPr>
      <w:rFonts w:ascii="Arial" w:hAnsi="Arial" w:eastAsia="宋体" w:cs="Times New Roman"/>
      <w:b/>
      <w:spacing w:val="14"/>
      <w:kern w:val="24"/>
      <w:sz w:val="32"/>
    </w:rPr>
  </w:style>
  <w:style w:type="character" w:customStyle="1" w:styleId="88">
    <w:name w:val="批注主题 字符"/>
    <w:link w:val="36"/>
    <w:autoRedefine/>
    <w:qFormat/>
    <w:uiPriority w:val="0"/>
    <w:rPr>
      <w:rFonts w:ascii="Times New Roman" w:hAnsi="Times New Roman" w:eastAsia="宋体" w:cs="Times New Roman"/>
      <w:b/>
      <w:bCs/>
      <w:kern w:val="2"/>
      <w:sz w:val="21"/>
      <w:szCs w:val="24"/>
    </w:rPr>
  </w:style>
  <w:style w:type="character" w:customStyle="1" w:styleId="89">
    <w:name w:val="访问过的超链接1"/>
    <w:autoRedefine/>
    <w:qFormat/>
    <w:uiPriority w:val="0"/>
    <w:rPr>
      <w:rFonts w:ascii="Times New Roman" w:hAnsi="Times New Roman" w:eastAsia="宋体" w:cs="Times New Roman"/>
      <w:color w:val="000000"/>
      <w:sz w:val="21"/>
      <w:szCs w:val="21"/>
      <w:u w:val="none"/>
    </w:rPr>
  </w:style>
  <w:style w:type="character" w:customStyle="1" w:styleId="90">
    <w:name w:val="Default Char"/>
    <w:link w:val="91"/>
    <w:autoRedefine/>
    <w:qFormat/>
    <w:uiPriority w:val="0"/>
    <w:rPr>
      <w:rFonts w:ascii="宋体" w:hAnsi="Tahoma" w:eastAsia="宋体" w:cs="宋体"/>
      <w:b/>
      <w:bCs/>
      <w:color w:val="000000"/>
      <w:sz w:val="24"/>
      <w:szCs w:val="24"/>
      <w:lang w:val="en-US" w:eastAsia="zh-CN" w:bidi="ar-SA"/>
    </w:rPr>
  </w:style>
  <w:style w:type="paragraph" w:customStyle="1" w:styleId="91">
    <w:name w:val="Default"/>
    <w:next w:val="1"/>
    <w:link w:val="90"/>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2">
    <w:name w:val="表格文字 Char Char"/>
    <w:link w:val="93"/>
    <w:autoRedefine/>
    <w:qFormat/>
    <w:uiPriority w:val="0"/>
    <w:rPr>
      <w:rFonts w:ascii="Times New Roman" w:hAnsi="Times New Roman" w:eastAsia="宋体" w:cs="Times New Roman"/>
      <w:kern w:val="21"/>
      <w:sz w:val="21"/>
      <w:szCs w:val="21"/>
    </w:rPr>
  </w:style>
  <w:style w:type="paragraph" w:customStyle="1" w:styleId="93">
    <w:name w:val="表格文字"/>
    <w:basedOn w:val="1"/>
    <w:next w:val="17"/>
    <w:link w:val="92"/>
    <w:autoRedefine/>
    <w:qFormat/>
    <w:uiPriority w:val="0"/>
    <w:pPr>
      <w:jc w:val="left"/>
    </w:pPr>
    <w:rPr>
      <w:kern w:val="21"/>
      <w:szCs w:val="21"/>
    </w:rPr>
  </w:style>
  <w:style w:type="character" w:customStyle="1" w:styleId="94">
    <w:name w:val="列表段落 字符"/>
    <w:link w:val="95"/>
    <w:autoRedefine/>
    <w:qFormat/>
    <w:uiPriority w:val="0"/>
    <w:rPr>
      <w:rFonts w:ascii="Calibri" w:hAnsi="Calibri" w:eastAsia="宋体" w:cs="Times New Roman"/>
      <w:kern w:val="2"/>
      <w:sz w:val="21"/>
      <w:szCs w:val="22"/>
    </w:rPr>
  </w:style>
  <w:style w:type="paragraph" w:customStyle="1" w:styleId="95">
    <w:name w:val="列表段落1"/>
    <w:basedOn w:val="1"/>
    <w:link w:val="94"/>
    <w:autoRedefine/>
    <w:qFormat/>
    <w:uiPriority w:val="0"/>
    <w:pPr>
      <w:ind w:firstLine="420" w:firstLineChars="200"/>
    </w:pPr>
    <w:rPr>
      <w:rFonts w:ascii="Calibri" w:hAnsi="Calibri"/>
      <w:kern w:val="2"/>
      <w:szCs w:val="22"/>
    </w:rPr>
  </w:style>
  <w:style w:type="paragraph" w:customStyle="1" w:styleId="96">
    <w:name w:val="编号，小四"/>
    <w:basedOn w:val="1"/>
    <w:autoRedefine/>
    <w:qFormat/>
    <w:uiPriority w:val="0"/>
    <w:pPr>
      <w:ind w:left="480"/>
    </w:pPr>
  </w:style>
  <w:style w:type="paragraph" w:customStyle="1" w:styleId="97">
    <w:name w:val="我编辑文档正文"/>
    <w:basedOn w:val="1"/>
    <w:link w:val="98"/>
    <w:autoRedefine/>
    <w:qFormat/>
    <w:uiPriority w:val="0"/>
    <w:pPr>
      <w:spacing w:line="360" w:lineRule="auto"/>
      <w:ind w:right="69" w:rightChars="33" w:firstLine="360" w:firstLineChars="150"/>
      <w:jc w:val="left"/>
    </w:pPr>
    <w:rPr>
      <w:sz w:val="24"/>
    </w:rPr>
  </w:style>
  <w:style w:type="character" w:customStyle="1" w:styleId="98">
    <w:name w:val="我编辑文档正文 Char"/>
    <w:link w:val="97"/>
    <w:autoRedefine/>
    <w:qFormat/>
    <w:uiPriority w:val="0"/>
    <w:rPr>
      <w:rFonts w:ascii="Times New Roman" w:hAnsi="Times New Roman" w:eastAsia="宋体" w:cs="Times New Roman"/>
      <w:sz w:val="24"/>
      <w:szCs w:val="24"/>
    </w:rPr>
  </w:style>
  <w:style w:type="character" w:customStyle="1" w:styleId="99">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0">
    <w:name w:val="font41"/>
    <w:autoRedefine/>
    <w:qFormat/>
    <w:uiPriority w:val="0"/>
    <w:rPr>
      <w:rFonts w:hint="eastAsia" w:ascii="宋体" w:hAnsi="宋体" w:eastAsia="宋体" w:cs="宋体"/>
      <w:b/>
      <w:color w:val="000000"/>
      <w:sz w:val="28"/>
      <w:szCs w:val="28"/>
      <w:u w:val="none"/>
    </w:rPr>
  </w:style>
  <w:style w:type="paragraph" w:customStyle="1" w:styleId="101">
    <w:name w:val="P正文 Char"/>
    <w:basedOn w:val="1"/>
    <w:link w:val="102"/>
    <w:autoRedefine/>
    <w:qFormat/>
    <w:uiPriority w:val="0"/>
    <w:pPr>
      <w:spacing w:beforeLines="50" w:afterLines="50"/>
      <w:ind w:left="540" w:leftChars="257"/>
    </w:pPr>
    <w:rPr>
      <w:kern w:val="2"/>
      <w:sz w:val="24"/>
    </w:rPr>
  </w:style>
  <w:style w:type="character" w:customStyle="1" w:styleId="102">
    <w:name w:val="P正文 Char Char"/>
    <w:link w:val="101"/>
    <w:autoRedefine/>
    <w:qFormat/>
    <w:uiPriority w:val="0"/>
    <w:rPr>
      <w:rFonts w:ascii="Times New Roman" w:hAnsi="Times New Roman" w:eastAsia="宋体" w:cs="Times New Roman"/>
      <w:kern w:val="2"/>
      <w:sz w:val="24"/>
      <w:szCs w:val="24"/>
    </w:rPr>
  </w:style>
  <w:style w:type="character" w:customStyle="1" w:styleId="103">
    <w:name w:val="未处理的提及1"/>
    <w:autoRedefine/>
    <w:qFormat/>
    <w:uiPriority w:val="0"/>
    <w:rPr>
      <w:rFonts w:ascii="Times New Roman" w:hAnsi="Times New Roman" w:eastAsia="宋体" w:cs="Times New Roman"/>
      <w:color w:val="605E5C"/>
      <w:shd w:val="clear" w:color="auto" w:fill="E1DFDD"/>
    </w:rPr>
  </w:style>
  <w:style w:type="character" w:customStyle="1" w:styleId="104">
    <w:name w:val="正文文本 Char"/>
    <w:autoRedefine/>
    <w:qFormat/>
    <w:uiPriority w:val="0"/>
    <w:rPr>
      <w:rFonts w:ascii="Times New Roman" w:hAnsi="Times New Roman" w:eastAsia="宋体" w:cs="Times New Roman"/>
      <w:kern w:val="2"/>
      <w:sz w:val="21"/>
      <w:szCs w:val="24"/>
    </w:rPr>
  </w:style>
  <w:style w:type="character" w:customStyle="1" w:styleId="105">
    <w:name w:val="批注文字 字符1"/>
    <w:autoRedefine/>
    <w:qFormat/>
    <w:uiPriority w:val="0"/>
    <w:rPr>
      <w:rFonts w:ascii="Times New Roman" w:hAnsi="Times New Roman" w:eastAsia="宋体" w:cs="Times New Roman"/>
      <w:kern w:val="2"/>
      <w:sz w:val="21"/>
      <w:szCs w:val="24"/>
    </w:rPr>
  </w:style>
  <w:style w:type="paragraph" w:customStyle="1" w:styleId="106">
    <w:name w:val="标准正文格式"/>
    <w:basedOn w:val="1"/>
    <w:link w:val="107"/>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7">
    <w:name w:val="标准正文格式 Char"/>
    <w:link w:val="106"/>
    <w:autoRedefine/>
    <w:qFormat/>
    <w:uiPriority w:val="0"/>
    <w:rPr>
      <w:rFonts w:ascii="宋体" w:hAnsi="Times New Roman" w:eastAsia="仿宋_GB2312" w:cs="宋体"/>
      <w:color w:val="000000"/>
      <w:sz w:val="24"/>
    </w:rPr>
  </w:style>
  <w:style w:type="character" w:customStyle="1" w:styleId="108">
    <w:name w:val="px141"/>
    <w:autoRedefine/>
    <w:qFormat/>
    <w:uiPriority w:val="0"/>
    <w:rPr>
      <w:rFonts w:ascii="Times New Roman" w:hAnsi="Times New Roman" w:eastAsia="宋体" w:cs="Times New Roman"/>
      <w:sz w:val="21"/>
      <w:szCs w:val="21"/>
    </w:rPr>
  </w:style>
  <w:style w:type="character" w:customStyle="1" w:styleId="109">
    <w:name w:val="font21"/>
    <w:basedOn w:val="40"/>
    <w:autoRedefine/>
    <w:qFormat/>
    <w:uiPriority w:val="0"/>
    <w:rPr>
      <w:rFonts w:hint="eastAsia" w:ascii="宋体" w:hAnsi="宋体" w:eastAsia="宋体" w:cs="宋体"/>
      <w:color w:val="000000"/>
      <w:sz w:val="18"/>
      <w:szCs w:val="18"/>
      <w:u w:val="none"/>
    </w:rPr>
  </w:style>
  <w:style w:type="character" w:customStyle="1" w:styleId="110">
    <w:name w:val="b2"/>
    <w:autoRedefine/>
    <w:qFormat/>
    <w:uiPriority w:val="0"/>
    <w:rPr>
      <w:rFonts w:ascii="Times New Roman" w:hAnsi="Times New Roman" w:eastAsia="宋体" w:cs="Times New Roman"/>
    </w:rPr>
  </w:style>
  <w:style w:type="character" w:customStyle="1" w:styleId="111">
    <w:name w:val="font31"/>
    <w:basedOn w:val="40"/>
    <w:autoRedefine/>
    <w:qFormat/>
    <w:uiPriority w:val="0"/>
    <w:rPr>
      <w:rFonts w:hint="eastAsia" w:ascii="宋体" w:hAnsi="宋体" w:eastAsia="宋体" w:cs="宋体"/>
      <w:color w:val="000000"/>
      <w:sz w:val="20"/>
      <w:szCs w:val="20"/>
      <w:u w:val="none"/>
    </w:rPr>
  </w:style>
  <w:style w:type="character" w:customStyle="1" w:styleId="112">
    <w:name w:val="font81"/>
    <w:autoRedefine/>
    <w:qFormat/>
    <w:uiPriority w:val="0"/>
    <w:rPr>
      <w:rFonts w:hint="eastAsia" w:ascii="宋体" w:hAnsi="宋体" w:eastAsia="宋体" w:cs="宋体"/>
      <w:b/>
      <w:color w:val="000000"/>
      <w:sz w:val="22"/>
      <w:szCs w:val="22"/>
      <w:u w:val="none"/>
    </w:rPr>
  </w:style>
  <w:style w:type="character" w:customStyle="1" w:styleId="113">
    <w:name w:val="日期 Char1"/>
    <w:autoRedefine/>
    <w:qFormat/>
    <w:uiPriority w:val="0"/>
    <w:rPr>
      <w:rFonts w:ascii="Times New Roman" w:hAnsi="Times New Roman" w:eastAsia="宋体" w:cs="Times New Roman"/>
      <w:kern w:val="2"/>
      <w:sz w:val="21"/>
      <w:szCs w:val="24"/>
    </w:rPr>
  </w:style>
  <w:style w:type="character" w:customStyle="1" w:styleId="114">
    <w:name w:val="标题2"/>
    <w:autoRedefine/>
    <w:qFormat/>
    <w:uiPriority w:val="0"/>
    <w:rPr>
      <w:rFonts w:ascii="微软雅黑" w:hAnsi="微软雅黑" w:eastAsia="微软雅黑" w:cs="Times New Roman"/>
      <w:b/>
      <w:bCs/>
      <w:color w:val="0D0D0D"/>
      <w:sz w:val="24"/>
    </w:rPr>
  </w:style>
  <w:style w:type="character" w:customStyle="1" w:styleId="115">
    <w:name w:val="正文（首行缩进两字） Char1"/>
    <w:autoRedefine/>
    <w:qFormat/>
    <w:uiPriority w:val="0"/>
    <w:rPr>
      <w:rFonts w:ascii="Times New Roman" w:hAnsi="Times New Roman" w:eastAsia="仿宋_GB2312" w:cs="Times New Roman"/>
      <w:kern w:val="2"/>
      <w:sz w:val="28"/>
      <w:szCs w:val="24"/>
    </w:rPr>
  </w:style>
  <w:style w:type="character" w:customStyle="1" w:styleId="116">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7">
    <w:name w:val="称呼 Char1"/>
    <w:autoRedefine/>
    <w:qFormat/>
    <w:uiPriority w:val="0"/>
    <w:rPr>
      <w:rFonts w:ascii="Times New Roman" w:hAnsi="Times New Roman" w:eastAsia="宋体" w:cs="Times New Roman"/>
      <w:kern w:val="2"/>
      <w:sz w:val="21"/>
      <w:szCs w:val="24"/>
    </w:rPr>
  </w:style>
  <w:style w:type="character" w:customStyle="1" w:styleId="118">
    <w:name w:val="font101"/>
    <w:autoRedefine/>
    <w:qFormat/>
    <w:uiPriority w:val="0"/>
    <w:rPr>
      <w:rFonts w:hint="eastAsia" w:ascii="宋体" w:hAnsi="宋体" w:eastAsia="宋体" w:cs="宋体"/>
      <w:b/>
      <w:color w:val="000000"/>
      <w:sz w:val="22"/>
      <w:szCs w:val="22"/>
      <w:u w:val="none"/>
    </w:rPr>
  </w:style>
  <w:style w:type="character" w:customStyle="1" w:styleId="119">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0">
    <w:name w:val="标书正文样式"/>
    <w:basedOn w:val="1"/>
    <w:link w:val="121"/>
    <w:autoRedefine/>
    <w:qFormat/>
    <w:uiPriority w:val="0"/>
    <w:pPr>
      <w:ind w:firstLine="560" w:firstLineChars="200"/>
      <w:jc w:val="left"/>
    </w:pPr>
    <w:rPr>
      <w:rFonts w:ascii="仿宋_GB2312" w:hAnsi="Arial" w:eastAsia="仿宋_GB2312"/>
      <w:kern w:val="2"/>
      <w:sz w:val="28"/>
      <w:szCs w:val="28"/>
    </w:rPr>
  </w:style>
  <w:style w:type="character" w:customStyle="1" w:styleId="121">
    <w:name w:val="标书正文样式 Char"/>
    <w:link w:val="120"/>
    <w:autoRedefine/>
    <w:qFormat/>
    <w:uiPriority w:val="0"/>
    <w:rPr>
      <w:rFonts w:ascii="仿宋_GB2312" w:hAnsi="Arial" w:eastAsia="仿宋_GB2312" w:cs="Times New Roman"/>
      <w:kern w:val="2"/>
      <w:sz w:val="28"/>
      <w:szCs w:val="28"/>
      <w:lang w:bidi="ar-SA"/>
    </w:rPr>
  </w:style>
  <w:style w:type="character" w:customStyle="1" w:styleId="122">
    <w:name w:val="font11"/>
    <w:basedOn w:val="40"/>
    <w:autoRedefine/>
    <w:qFormat/>
    <w:uiPriority w:val="0"/>
    <w:rPr>
      <w:rFonts w:hint="eastAsia" w:ascii="宋体" w:hAnsi="宋体" w:eastAsia="宋体" w:cs="宋体"/>
      <w:color w:val="000000"/>
      <w:sz w:val="22"/>
      <w:szCs w:val="22"/>
      <w:u w:val="none"/>
    </w:rPr>
  </w:style>
  <w:style w:type="character" w:customStyle="1" w:styleId="123">
    <w:name w:val="question-title2"/>
    <w:autoRedefine/>
    <w:qFormat/>
    <w:uiPriority w:val="0"/>
    <w:rPr>
      <w:rFonts w:ascii="Times New Roman" w:hAnsi="Times New Roman" w:eastAsia="宋体" w:cs="Times New Roman"/>
    </w:rPr>
  </w:style>
  <w:style w:type="character" w:customStyle="1" w:styleId="124">
    <w:name w:val="纯文本 字符"/>
    <w:autoRedefine/>
    <w:qFormat/>
    <w:uiPriority w:val="0"/>
    <w:rPr>
      <w:rFonts w:ascii="宋体" w:hAnsi="Courier New" w:eastAsia="宋体" w:cs="Times New Roman"/>
      <w:sz w:val="21"/>
      <w:szCs w:val="21"/>
      <w:lang w:val="en-US" w:eastAsia="zh-CN" w:bidi="ar-SA"/>
    </w:rPr>
  </w:style>
  <w:style w:type="character" w:customStyle="1" w:styleId="125">
    <w:name w:val="Char Char Char"/>
    <w:autoRedefine/>
    <w:qFormat/>
    <w:uiPriority w:val="0"/>
    <w:rPr>
      <w:rFonts w:ascii="宋体" w:hAnsi="Courier New" w:eastAsia="宋体" w:cs="Times New Roman"/>
      <w:sz w:val="21"/>
      <w:szCs w:val="21"/>
      <w:lang w:val="en-US" w:eastAsia="zh-CN" w:bidi="ar-SA"/>
    </w:rPr>
  </w:style>
  <w:style w:type="paragraph" w:customStyle="1" w:styleId="126">
    <w:name w:val="无间隔1"/>
    <w:link w:val="127"/>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7">
    <w:name w:val="无间隔 Char"/>
    <w:link w:val="126"/>
    <w:autoRedefine/>
    <w:qFormat/>
    <w:uiPriority w:val="0"/>
    <w:rPr>
      <w:rFonts w:ascii="Times New Roman" w:hAnsi="Times New Roman" w:eastAsia="宋体" w:cs="Times New Roman"/>
      <w:sz w:val="24"/>
      <w:szCs w:val="24"/>
      <w:lang w:val="en-US" w:eastAsia="zh-CN" w:bidi="ar-SA"/>
    </w:rPr>
  </w:style>
  <w:style w:type="character" w:customStyle="1" w:styleId="128">
    <w:name w:val="Texte Char Char"/>
    <w:autoRedefine/>
    <w:qFormat/>
    <w:uiPriority w:val="0"/>
    <w:rPr>
      <w:rFonts w:ascii="宋体" w:hAnsi="Courier New" w:eastAsia="宋体" w:cs="Times New Roman"/>
      <w:sz w:val="21"/>
      <w:szCs w:val="21"/>
      <w:lang w:val="en-US" w:eastAsia="zh-CN" w:bidi="ar-SA"/>
    </w:rPr>
  </w:style>
  <w:style w:type="character" w:customStyle="1" w:styleId="129">
    <w:name w:val="chs1"/>
    <w:autoRedefine/>
    <w:qFormat/>
    <w:uiPriority w:val="0"/>
    <w:rPr>
      <w:rFonts w:hint="default" w:eastAsia="宋体" w:cs="Times New Roman"/>
      <w:sz w:val="18"/>
      <w:szCs w:val="18"/>
    </w:rPr>
  </w:style>
  <w:style w:type="paragraph" w:customStyle="1" w:styleId="130">
    <w:name w:val="样式 样式3 + 非加粗"/>
    <w:basedOn w:val="1"/>
    <w:link w:val="131"/>
    <w:autoRedefine/>
    <w:qFormat/>
    <w:uiPriority w:val="0"/>
    <w:pPr>
      <w:adjustRightInd w:val="0"/>
      <w:snapToGrid w:val="0"/>
      <w:spacing w:line="300" w:lineRule="auto"/>
    </w:pPr>
    <w:rPr>
      <w:rFonts w:ascii="宋体" w:hAnsi="宋体"/>
      <w:b/>
      <w:bCs/>
      <w:color w:val="000000"/>
      <w:kern w:val="2"/>
      <w:sz w:val="24"/>
    </w:rPr>
  </w:style>
  <w:style w:type="character" w:customStyle="1" w:styleId="131">
    <w:name w:val="样式 样式3 + 非加粗 Char"/>
    <w:link w:val="130"/>
    <w:autoRedefine/>
    <w:qFormat/>
    <w:uiPriority w:val="0"/>
    <w:rPr>
      <w:rFonts w:ascii="宋体" w:hAnsi="宋体" w:eastAsia="宋体" w:cs="Times New Roman"/>
      <w:b/>
      <w:bCs/>
      <w:color w:val="000000"/>
      <w:kern w:val="2"/>
      <w:sz w:val="24"/>
      <w:szCs w:val="24"/>
      <w:lang w:val="en-US" w:eastAsia="zh-CN" w:bidi="ar-SA"/>
    </w:rPr>
  </w:style>
  <w:style w:type="character" w:customStyle="1" w:styleId="132">
    <w:name w:val="aa1"/>
    <w:autoRedefine/>
    <w:qFormat/>
    <w:uiPriority w:val="0"/>
    <w:rPr>
      <w:rFonts w:hint="default" w:eastAsia="宋体" w:cs="Times New Roman"/>
      <w:color w:val="000000"/>
      <w:sz w:val="20"/>
      <w:szCs w:val="20"/>
      <w:u w:val="none"/>
    </w:rPr>
  </w:style>
  <w:style w:type="paragraph" w:customStyle="1" w:styleId="133">
    <w:name w:val="招标正文"/>
    <w:basedOn w:val="1"/>
    <w:link w:val="134"/>
    <w:autoRedefine/>
    <w:qFormat/>
    <w:uiPriority w:val="0"/>
    <w:pPr>
      <w:widowControl/>
      <w:spacing w:line="360" w:lineRule="auto"/>
      <w:ind w:firstLine="480" w:firstLineChars="200"/>
    </w:pPr>
    <w:rPr>
      <w:snapToGrid w:val="0"/>
      <w:sz w:val="24"/>
      <w:lang w:val="en-GB"/>
    </w:rPr>
  </w:style>
  <w:style w:type="character" w:customStyle="1" w:styleId="134">
    <w:name w:val="招标正文 Char Char"/>
    <w:link w:val="133"/>
    <w:autoRedefine/>
    <w:qFormat/>
    <w:uiPriority w:val="0"/>
    <w:rPr>
      <w:rFonts w:ascii="Times New Roman" w:hAnsi="Times New Roman" w:eastAsia="宋体" w:cs="Times New Roman"/>
      <w:snapToGrid w:val="0"/>
      <w:sz w:val="24"/>
      <w:szCs w:val="24"/>
      <w:lang w:val="en-GB" w:bidi="ar-SA"/>
    </w:rPr>
  </w:style>
  <w:style w:type="character" w:customStyle="1" w:styleId="135">
    <w:name w:val="textfont"/>
    <w:autoRedefine/>
    <w:qFormat/>
    <w:uiPriority w:val="0"/>
    <w:rPr>
      <w:rFonts w:ascii="Times New Roman" w:hAnsi="Times New Roman" w:eastAsia="宋体" w:cs="Times New Roman"/>
    </w:rPr>
  </w:style>
  <w:style w:type="character" w:customStyle="1" w:styleId="136">
    <w:name w:val="称呼 字符1"/>
    <w:autoRedefine/>
    <w:qFormat/>
    <w:uiPriority w:val="0"/>
    <w:rPr>
      <w:rFonts w:ascii="Times New Roman" w:hAnsi="Times New Roman" w:eastAsia="宋体" w:cs="Times New Roman"/>
      <w:kern w:val="2"/>
      <w:sz w:val="21"/>
      <w:szCs w:val="24"/>
    </w:rPr>
  </w:style>
  <w:style w:type="character" w:customStyle="1" w:styleId="137">
    <w:name w:val="标题 Char1"/>
    <w:autoRedefine/>
    <w:qFormat/>
    <w:uiPriority w:val="0"/>
    <w:rPr>
      <w:rFonts w:ascii="Calibri Light" w:hAnsi="Calibri Light" w:eastAsia="宋体" w:cs="Times New Roman"/>
      <w:b/>
      <w:bCs/>
      <w:kern w:val="2"/>
      <w:sz w:val="32"/>
      <w:szCs w:val="32"/>
    </w:rPr>
  </w:style>
  <w:style w:type="character" w:customStyle="1" w:styleId="138">
    <w:name w:val="unnamed51"/>
    <w:autoRedefine/>
    <w:qFormat/>
    <w:uiPriority w:val="0"/>
    <w:rPr>
      <w:rFonts w:ascii="Times New Roman" w:hAnsi="Times New Roman" w:eastAsia="宋体" w:cs="Times New Roman"/>
      <w:sz w:val="22"/>
      <w:szCs w:val="22"/>
    </w:rPr>
  </w:style>
  <w:style w:type="character" w:customStyle="1" w:styleId="139">
    <w:name w:val="title1"/>
    <w:autoRedefine/>
    <w:qFormat/>
    <w:uiPriority w:val="0"/>
    <w:rPr>
      <w:rFonts w:hint="eastAsia" w:ascii="宋体" w:hAnsi="宋体" w:eastAsia="宋体" w:cs="Times New Roman"/>
      <w:b/>
      <w:bCs/>
      <w:sz w:val="22"/>
      <w:szCs w:val="22"/>
    </w:rPr>
  </w:style>
  <w:style w:type="character" w:customStyle="1" w:styleId="140">
    <w:name w:val="15"/>
    <w:autoRedefine/>
    <w:qFormat/>
    <w:uiPriority w:val="0"/>
    <w:rPr>
      <w:rFonts w:hint="default" w:ascii="Times New Roman" w:hAnsi="Times New Roman" w:eastAsia="宋体" w:cs="Times New Roman"/>
      <w:b/>
      <w:bCs/>
      <w:spacing w:val="-2"/>
      <w:sz w:val="24"/>
      <w:szCs w:val="24"/>
    </w:rPr>
  </w:style>
  <w:style w:type="character" w:customStyle="1" w:styleId="141">
    <w:name w:val="font51"/>
    <w:basedOn w:val="40"/>
    <w:autoRedefine/>
    <w:qFormat/>
    <w:uiPriority w:val="0"/>
    <w:rPr>
      <w:rFonts w:hint="eastAsia" w:ascii="宋体" w:hAnsi="宋体" w:eastAsia="宋体" w:cs="宋体"/>
      <w:color w:val="000000"/>
      <w:sz w:val="22"/>
      <w:szCs w:val="22"/>
      <w:u w:val="none"/>
    </w:rPr>
  </w:style>
  <w:style w:type="character" w:customStyle="1" w:styleId="142">
    <w:name w:val="font01"/>
    <w:autoRedefine/>
    <w:qFormat/>
    <w:uiPriority w:val="0"/>
    <w:rPr>
      <w:rFonts w:hint="eastAsia" w:ascii="宋体" w:hAnsi="宋体" w:eastAsia="宋体" w:cs="宋体"/>
      <w:b/>
      <w:color w:val="000000"/>
      <w:sz w:val="28"/>
      <w:szCs w:val="28"/>
      <w:u w:val="none"/>
    </w:rPr>
  </w:style>
  <w:style w:type="character" w:customStyle="1" w:styleId="143">
    <w:name w:val="bt11"/>
    <w:autoRedefine/>
    <w:qFormat/>
    <w:uiPriority w:val="0"/>
    <w:rPr>
      <w:rFonts w:ascii="Times New Roman" w:hAnsi="Times New Roman" w:eastAsia="仿宋_GB2312" w:cs="Times New Roman"/>
      <w:b/>
      <w:color w:val="000000"/>
      <w:sz w:val="30"/>
      <w:szCs w:val="20"/>
      <w:u w:val="none"/>
    </w:rPr>
  </w:style>
  <w:style w:type="character" w:customStyle="1" w:styleId="144">
    <w:name w:val="f16b1"/>
    <w:autoRedefine/>
    <w:qFormat/>
    <w:uiPriority w:val="0"/>
    <w:rPr>
      <w:rFonts w:ascii="Times New Roman" w:hAnsi="Times New Roman" w:eastAsia="宋体" w:cs="Times New Roman"/>
      <w:b/>
      <w:bCs/>
      <w:color w:val="333333"/>
      <w:sz w:val="22"/>
      <w:szCs w:val="22"/>
    </w:rPr>
  </w:style>
  <w:style w:type="character" w:customStyle="1" w:styleId="145">
    <w:name w:val="纯文本 Char1"/>
    <w:autoRedefine/>
    <w:qFormat/>
    <w:uiPriority w:val="0"/>
    <w:rPr>
      <w:rFonts w:ascii="宋体" w:hAnsi="Courier New" w:eastAsia="宋体" w:cs="Times New Roman"/>
      <w:sz w:val="21"/>
      <w:szCs w:val="21"/>
      <w:lang w:val="en-US" w:eastAsia="zh-CN" w:bidi="ar-SA"/>
    </w:rPr>
  </w:style>
  <w:style w:type="character" w:customStyle="1" w:styleId="146">
    <w:name w:val="普通文字 Char"/>
    <w:autoRedefine/>
    <w:qFormat/>
    <w:uiPriority w:val="0"/>
    <w:rPr>
      <w:rFonts w:ascii="宋体" w:hAnsi="Courier New" w:eastAsia="宋体" w:cs="Times New Roman"/>
      <w:kern w:val="2"/>
      <w:sz w:val="21"/>
      <w:lang w:bidi="ar-SA"/>
    </w:rPr>
  </w:style>
  <w:style w:type="character" w:customStyle="1" w:styleId="147">
    <w:name w:val="style13"/>
    <w:autoRedefine/>
    <w:qFormat/>
    <w:uiPriority w:val="0"/>
    <w:rPr>
      <w:rFonts w:ascii="Times New Roman" w:hAnsi="Times New Roman" w:eastAsia="宋体" w:cs="Times New Roman"/>
    </w:rPr>
  </w:style>
  <w:style w:type="character" w:customStyle="1" w:styleId="148">
    <w:name w:val="font61"/>
    <w:autoRedefine/>
    <w:qFormat/>
    <w:uiPriority w:val="0"/>
    <w:rPr>
      <w:rFonts w:hint="eastAsia" w:ascii="宋体" w:hAnsi="宋体" w:eastAsia="宋体" w:cs="宋体"/>
      <w:color w:val="000000"/>
      <w:sz w:val="22"/>
      <w:szCs w:val="22"/>
      <w:u w:val="none"/>
    </w:rPr>
  </w:style>
  <w:style w:type="paragraph" w:customStyle="1" w:styleId="14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0">
    <w:name w:val="Char2"/>
    <w:basedOn w:val="14"/>
    <w:next w:val="1"/>
    <w:autoRedefine/>
    <w:qFormat/>
    <w:uiPriority w:val="0"/>
    <w:rPr>
      <w:rFonts w:ascii="宋体" w:hAnsi="宋体"/>
    </w:rPr>
  </w:style>
  <w:style w:type="paragraph" w:customStyle="1" w:styleId="151">
    <w:name w:val="正文2"/>
    <w:basedOn w:val="1"/>
    <w:autoRedefine/>
    <w:qFormat/>
    <w:uiPriority w:val="0"/>
    <w:pPr>
      <w:spacing w:before="156" w:line="360" w:lineRule="auto"/>
      <w:ind w:firstLine="510" w:firstLineChars="200"/>
    </w:pPr>
    <w:rPr>
      <w:sz w:val="24"/>
      <w:szCs w:val="20"/>
    </w:rPr>
  </w:style>
  <w:style w:type="paragraph" w:customStyle="1" w:styleId="152">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3">
    <w:name w:val="1111"/>
    <w:basedOn w:val="1"/>
    <w:autoRedefine/>
    <w:qFormat/>
    <w:uiPriority w:val="0"/>
    <w:rPr>
      <w:rFonts w:ascii="Calibri" w:hAnsi="Calibri"/>
      <w:sz w:val="18"/>
    </w:rPr>
  </w:style>
  <w:style w:type="paragraph" w:customStyle="1" w:styleId="154">
    <w:name w:val="Char Char Char1"/>
    <w:basedOn w:val="1"/>
    <w:autoRedefine/>
    <w:qFormat/>
    <w:uiPriority w:val="0"/>
    <w:rPr>
      <w:rFonts w:ascii="Tahoma" w:hAnsi="Tahoma"/>
      <w:sz w:val="24"/>
      <w:szCs w:val="20"/>
    </w:rPr>
  </w:style>
  <w:style w:type="paragraph" w:customStyle="1" w:styleId="155">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6">
    <w:name w:val="_Style 13"/>
    <w:basedOn w:val="1"/>
    <w:next w:val="95"/>
    <w:autoRedefine/>
    <w:qFormat/>
    <w:uiPriority w:val="0"/>
    <w:pPr>
      <w:ind w:firstLine="420"/>
    </w:pPr>
    <w:rPr>
      <w:rFonts w:ascii="Calibri" w:hAnsi="Calibri"/>
      <w:color w:val="000000"/>
      <w:kern w:val="1"/>
    </w:rPr>
  </w:style>
  <w:style w:type="paragraph" w:customStyle="1" w:styleId="15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8">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9">
    <w:name w:val="table_1stline"/>
    <w:basedOn w:val="1"/>
    <w:autoRedefine/>
    <w:qFormat/>
    <w:uiPriority w:val="0"/>
    <w:pPr>
      <w:widowControl/>
      <w:spacing w:before="120"/>
      <w:jc w:val="left"/>
    </w:pPr>
    <w:rPr>
      <w:bCs/>
      <w:sz w:val="20"/>
      <w:szCs w:val="20"/>
      <w:lang w:val="de-DE" w:eastAsia="de-DE"/>
    </w:rPr>
  </w:style>
  <w:style w:type="paragraph" w:customStyle="1" w:styleId="160">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1">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2">
    <w:name w:val="题注4"/>
    <w:basedOn w:val="1"/>
    <w:next w:val="12"/>
    <w:autoRedefine/>
    <w:qFormat/>
    <w:uiPriority w:val="0"/>
    <w:pPr>
      <w:ind w:left="-132" w:leftChars="-64" w:right="-105" w:hanging="2"/>
      <w:jc w:val="center"/>
    </w:pPr>
    <w:rPr>
      <w:rFonts w:ascii="宋体"/>
      <w:b/>
      <w:color w:val="FF0000"/>
      <w:sz w:val="24"/>
      <w:szCs w:val="20"/>
      <w:lang w:val="en-GB"/>
    </w:rPr>
  </w:style>
  <w:style w:type="paragraph" w:customStyle="1" w:styleId="163">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4">
    <w:name w:val="[Normal]"/>
    <w:autoRedefine/>
    <w:qFormat/>
    <w:uiPriority w:val="0"/>
    <w:rPr>
      <w:rFonts w:ascii="宋体" w:hAnsi="宋体" w:eastAsia="宋体" w:cs="Times New Roman"/>
      <w:sz w:val="24"/>
      <w:szCs w:val="22"/>
      <w:lang w:val="zh-CN" w:eastAsia="zh-CN" w:bidi="ar-SA"/>
    </w:rPr>
  </w:style>
  <w:style w:type="paragraph" w:customStyle="1" w:styleId="165">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6">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7">
    <w:name w:val="彩色列表1"/>
    <w:basedOn w:val="1"/>
    <w:autoRedefine/>
    <w:qFormat/>
    <w:uiPriority w:val="0"/>
    <w:pPr>
      <w:ind w:firstLine="420" w:firstLineChars="200"/>
    </w:pPr>
    <w:rPr>
      <w:rFonts w:ascii="Calibri" w:hAnsi="Calibri"/>
    </w:rPr>
  </w:style>
  <w:style w:type="paragraph" w:customStyle="1" w:styleId="168">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69">
    <w:name w:val="Char Char Char Char Char Char Char Char Char Char Char Char Char"/>
    <w:basedOn w:val="1"/>
    <w:autoRedefine/>
    <w:qFormat/>
    <w:uiPriority w:val="0"/>
    <w:rPr>
      <w:rFonts w:ascii="Tahoma" w:hAnsi="Tahoma"/>
      <w:sz w:val="24"/>
      <w:szCs w:val="20"/>
    </w:rPr>
  </w:style>
  <w:style w:type="paragraph" w:customStyle="1" w:styleId="170">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1">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2">
    <w:name w:val="列出段落1"/>
    <w:basedOn w:val="1"/>
    <w:autoRedefine/>
    <w:qFormat/>
    <w:uiPriority w:val="0"/>
    <w:pPr>
      <w:ind w:firstLine="420" w:firstLineChars="200"/>
    </w:pPr>
    <w:rPr>
      <w:rFonts w:ascii="Calibri" w:hAnsi="Calibri"/>
      <w:szCs w:val="20"/>
    </w:rPr>
  </w:style>
  <w:style w:type="paragraph" w:customStyle="1" w:styleId="173">
    <w:name w:val="Char"/>
    <w:basedOn w:val="1"/>
    <w:autoRedefine/>
    <w:qFormat/>
    <w:uiPriority w:val="0"/>
    <w:rPr>
      <w:rFonts w:eastAsia="仿宋_GB2312"/>
      <w:sz w:val="28"/>
    </w:rPr>
  </w:style>
  <w:style w:type="paragraph" w:customStyle="1" w:styleId="174">
    <w:name w:val="Char Char Char Char Char Char Char"/>
    <w:basedOn w:val="1"/>
    <w:autoRedefine/>
    <w:qFormat/>
    <w:uiPriority w:val="0"/>
    <w:rPr>
      <w:rFonts w:ascii="仿宋_GB2312" w:eastAsia="仿宋_GB2312"/>
      <w:b/>
      <w:sz w:val="32"/>
      <w:szCs w:val="32"/>
    </w:rPr>
  </w:style>
  <w:style w:type="paragraph" w:customStyle="1" w:styleId="1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6">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7">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8">
    <w:name w:val="Char4"/>
    <w:basedOn w:val="1"/>
    <w:autoRedefine/>
    <w:qFormat/>
    <w:uiPriority w:val="0"/>
    <w:rPr>
      <w:szCs w:val="20"/>
    </w:rPr>
  </w:style>
  <w:style w:type="paragraph" w:customStyle="1" w:styleId="17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0">
    <w:name w:val="默认段落字体 Para Char"/>
    <w:basedOn w:val="1"/>
    <w:autoRedefine/>
    <w:qFormat/>
    <w:uiPriority w:val="0"/>
    <w:rPr>
      <w:rFonts w:ascii="Calibri" w:hAnsi="Calibri"/>
      <w:szCs w:val="20"/>
    </w:rPr>
  </w:style>
  <w:style w:type="paragraph" w:customStyle="1" w:styleId="181">
    <w:name w:val="行间12_5号"/>
    <w:basedOn w:val="1"/>
    <w:autoRedefine/>
    <w:qFormat/>
    <w:uiPriority w:val="0"/>
    <w:pPr>
      <w:adjustRightInd w:val="0"/>
      <w:spacing w:line="240" w:lineRule="exact"/>
      <w:jc w:val="center"/>
      <w:textAlignment w:val="baseline"/>
    </w:pPr>
    <w:rPr>
      <w:szCs w:val="20"/>
    </w:rPr>
  </w:style>
  <w:style w:type="paragraph" w:customStyle="1" w:styleId="182">
    <w:name w:val="Char1"/>
    <w:basedOn w:val="1"/>
    <w:autoRedefine/>
    <w:qFormat/>
    <w:uiPriority w:val="0"/>
    <w:rPr>
      <w:rFonts w:ascii="仿宋_GB2312" w:eastAsia="仿宋_GB2312"/>
      <w:b/>
      <w:sz w:val="32"/>
      <w:szCs w:val="32"/>
    </w:rPr>
  </w:style>
  <w:style w:type="paragraph" w:customStyle="1" w:styleId="183">
    <w:name w:val="Char3"/>
    <w:basedOn w:val="14"/>
    <w:autoRedefine/>
    <w:qFormat/>
    <w:uiPriority w:val="0"/>
  </w:style>
  <w:style w:type="paragraph" w:customStyle="1" w:styleId="184">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5">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 Char Char Char Char Char"/>
    <w:basedOn w:val="1"/>
    <w:autoRedefine/>
    <w:qFormat/>
    <w:uiPriority w:val="0"/>
    <w:rPr>
      <w:rFonts w:ascii="Tahoma" w:hAnsi="Tahoma"/>
      <w:sz w:val="24"/>
      <w:szCs w:val="20"/>
    </w:rPr>
  </w:style>
  <w:style w:type="paragraph" w:customStyle="1" w:styleId="187">
    <w:name w:val="表内文字"/>
    <w:basedOn w:val="1"/>
    <w:autoRedefine/>
    <w:qFormat/>
    <w:uiPriority w:val="0"/>
    <w:pPr>
      <w:spacing w:line="240" w:lineRule="atLeast"/>
      <w:jc w:val="center"/>
    </w:pPr>
    <w:rPr>
      <w:rFonts w:ascii="Arial" w:hAnsi="Arial" w:cs="Arial"/>
      <w:b/>
      <w:bCs/>
    </w:rPr>
  </w:style>
  <w:style w:type="paragraph" w:customStyle="1" w:styleId="188">
    <w:name w:val="Char Char"/>
    <w:basedOn w:val="1"/>
    <w:autoRedefine/>
    <w:qFormat/>
    <w:uiPriority w:val="0"/>
    <w:rPr>
      <w:rFonts w:ascii="仿宋_GB2312" w:eastAsia="仿宋_GB2312"/>
      <w:b/>
      <w:sz w:val="32"/>
      <w:szCs w:val="32"/>
    </w:rPr>
  </w:style>
  <w:style w:type="paragraph" w:customStyle="1" w:styleId="189">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0">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Char Char Char Char Char Char1"/>
    <w:basedOn w:val="1"/>
    <w:autoRedefine/>
    <w:qFormat/>
    <w:uiPriority w:val="0"/>
    <w:pPr>
      <w:ind w:firstLine="200" w:firstLineChars="200"/>
    </w:pPr>
    <w:rPr>
      <w:rFonts w:ascii="Tahoma" w:hAnsi="Tahoma" w:cs="Tahoma"/>
      <w:sz w:val="24"/>
    </w:rPr>
  </w:style>
  <w:style w:type="paragraph" w:customStyle="1" w:styleId="192">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3">
    <w:name w:val="默认段落字体 Para Char Char Char Char Char Char Char"/>
    <w:basedOn w:val="1"/>
    <w:autoRedefine/>
    <w:qFormat/>
    <w:uiPriority w:val="0"/>
    <w:rPr>
      <w:rFonts w:ascii="Tahoma" w:hAnsi="Tahoma"/>
      <w:sz w:val="24"/>
      <w:szCs w:val="20"/>
    </w:rPr>
  </w:style>
  <w:style w:type="paragraph" w:customStyle="1" w:styleId="194">
    <w:name w:val="Char Char2 Char"/>
    <w:basedOn w:val="1"/>
    <w:autoRedefine/>
    <w:qFormat/>
    <w:uiPriority w:val="0"/>
    <w:pPr>
      <w:keepNext/>
      <w:keepLines/>
      <w:pageBreakBefore/>
      <w:tabs>
        <w:tab w:val="left" w:pos="845"/>
      </w:tabs>
      <w:ind w:left="845" w:hanging="420"/>
    </w:pPr>
    <w:rPr>
      <w:szCs w:val="20"/>
    </w:rPr>
  </w:style>
  <w:style w:type="paragraph" w:customStyle="1" w:styleId="195">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6">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7">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8">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9">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0">
    <w:name w:val="默认段落字体 Para Char Char Char Char"/>
    <w:basedOn w:val="1"/>
    <w:autoRedefine/>
    <w:qFormat/>
    <w:uiPriority w:val="0"/>
    <w:rPr>
      <w:sz w:val="32"/>
      <w:szCs w:val="32"/>
    </w:rPr>
  </w:style>
  <w:style w:type="paragraph" w:customStyle="1" w:styleId="201">
    <w:name w:val="保留正文"/>
    <w:basedOn w:val="17"/>
    <w:autoRedefine/>
    <w:qFormat/>
    <w:uiPriority w:val="0"/>
    <w:pPr>
      <w:keepNext/>
      <w:spacing w:after="160"/>
    </w:pPr>
    <w:rPr>
      <w:szCs w:val="20"/>
    </w:rPr>
  </w:style>
  <w:style w:type="character" w:customStyle="1" w:styleId="202">
    <w:name w:val="正文文本 字符"/>
    <w:autoRedefine/>
    <w:qFormat/>
    <w:uiPriority w:val="99"/>
    <w:rPr>
      <w:rFonts w:ascii="Times New Roman" w:hAnsi="Times New Roman" w:eastAsia="宋体" w:cs="Times New Roman"/>
      <w:kern w:val="2"/>
      <w:sz w:val="21"/>
      <w:szCs w:val="24"/>
    </w:rPr>
  </w:style>
  <w:style w:type="character" w:customStyle="1" w:styleId="203">
    <w:name w:val="日期 字符"/>
    <w:autoRedefine/>
    <w:qFormat/>
    <w:uiPriority w:val="0"/>
    <w:rPr>
      <w:rFonts w:ascii="Times New Roman" w:hAnsi="Times New Roman" w:eastAsia="宋体" w:cs="Times New Roman"/>
      <w:color w:val="000000"/>
      <w:kern w:val="1"/>
      <w:sz w:val="30"/>
    </w:rPr>
  </w:style>
  <w:style w:type="character" w:customStyle="1" w:styleId="204">
    <w:name w:val="批注文字 字符"/>
    <w:autoRedefine/>
    <w:qFormat/>
    <w:uiPriority w:val="0"/>
    <w:rPr>
      <w:rFonts w:ascii="Times New Roman" w:hAnsi="Times New Roman" w:eastAsia="宋体" w:cs="Times New Roman"/>
      <w:kern w:val="2"/>
      <w:sz w:val="21"/>
      <w:szCs w:val="24"/>
    </w:rPr>
  </w:style>
  <w:style w:type="character" w:customStyle="1" w:styleId="205">
    <w:name w:val="NormalCharacter"/>
    <w:autoRedefine/>
    <w:qFormat/>
    <w:uiPriority w:val="0"/>
    <w:rPr>
      <w:rFonts w:ascii="Times New Roman" w:hAnsi="Times New Roman" w:eastAsia="宋体" w:cs="Times New Roman"/>
    </w:rPr>
  </w:style>
  <w:style w:type="paragraph" w:customStyle="1" w:styleId="206">
    <w:name w:val="列出段落3"/>
    <w:basedOn w:val="1"/>
    <w:autoRedefine/>
    <w:qFormat/>
    <w:uiPriority w:val="0"/>
    <w:pPr>
      <w:ind w:firstLine="420" w:firstLineChars="200"/>
    </w:pPr>
    <w:rPr>
      <w:rFonts w:ascii="Arial" w:hAnsi="Arial" w:cs="Arial"/>
      <w:kern w:val="2"/>
    </w:rPr>
  </w:style>
  <w:style w:type="paragraph" w:customStyle="1" w:styleId="207">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8">
    <w:name w:val="修订1"/>
    <w:autoRedefine/>
    <w:qFormat/>
    <w:uiPriority w:val="0"/>
    <w:rPr>
      <w:rFonts w:ascii="Times New Roman" w:hAnsi="Times New Roman" w:eastAsia="宋体" w:cs="Times New Roman"/>
      <w:sz w:val="21"/>
      <w:szCs w:val="24"/>
      <w:lang w:val="en-US" w:eastAsia="zh-CN" w:bidi="ar-SA"/>
    </w:rPr>
  </w:style>
  <w:style w:type="character" w:customStyle="1" w:styleId="209">
    <w:name w:val="标题 4 字符1"/>
    <w:autoRedefine/>
    <w:qFormat/>
    <w:uiPriority w:val="0"/>
    <w:rPr>
      <w:rFonts w:ascii="Calibri" w:hAnsi="Calibri" w:eastAsia="Tahoma"/>
      <w:b/>
      <w:sz w:val="24"/>
      <w:lang w:val="zh-CN"/>
    </w:rPr>
  </w:style>
  <w:style w:type="paragraph" w:styleId="210">
    <w:name w:val="List Paragraph"/>
    <w:basedOn w:val="1"/>
    <w:autoRedefine/>
    <w:qFormat/>
    <w:uiPriority w:val="0"/>
    <w:pPr>
      <w:ind w:firstLine="420" w:firstLineChars="200"/>
    </w:pPr>
  </w:style>
  <w:style w:type="paragraph" w:customStyle="1" w:styleId="211">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2">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3">
    <w:name w:val="未处理的提及2"/>
    <w:basedOn w:val="40"/>
    <w:autoRedefine/>
    <w:semiHidden/>
    <w:unhideWhenUsed/>
    <w:qFormat/>
    <w:uiPriority w:val="99"/>
    <w:rPr>
      <w:color w:val="605E5C"/>
      <w:shd w:val="clear" w:color="auto" w:fill="E1DFDD"/>
    </w:rPr>
  </w:style>
  <w:style w:type="character" w:customStyle="1" w:styleId="214">
    <w:name w:val="font71"/>
    <w:basedOn w:val="40"/>
    <w:autoRedefine/>
    <w:qFormat/>
    <w:uiPriority w:val="0"/>
    <w:rPr>
      <w:rFonts w:hint="default" w:ascii="华文仿宋" w:hAnsi="华文仿宋" w:eastAsia="华文仿宋" w:cs="华文仿宋"/>
      <w:b/>
      <w:bCs/>
      <w:color w:val="000000"/>
      <w:sz w:val="24"/>
      <w:szCs w:val="24"/>
      <w:u w:val="none"/>
    </w:rPr>
  </w:style>
  <w:style w:type="paragraph" w:customStyle="1" w:styleId="215">
    <w:name w:val="Table Paragraph"/>
    <w:basedOn w:val="1"/>
    <w:autoRedefine/>
    <w:qFormat/>
    <w:uiPriority w:val="1"/>
    <w:pPr>
      <w:autoSpaceDE w:val="0"/>
      <w:autoSpaceDN w:val="0"/>
      <w:jc w:val="left"/>
    </w:pPr>
    <w:rPr>
      <w:rFonts w:ascii="宋体" w:hAnsi="宋体" w:cs="宋体"/>
      <w:sz w:val="22"/>
    </w:rPr>
  </w:style>
  <w:style w:type="character" w:customStyle="1" w:styleId="216">
    <w:name w:val="content-right_8zs401"/>
    <w:basedOn w:val="40"/>
    <w:autoRedefine/>
    <w:qFormat/>
    <w:uiPriority w:val="0"/>
  </w:style>
  <w:style w:type="paragraph" w:customStyle="1" w:styleId="217">
    <w:name w:val="zsy正文"/>
    <w:basedOn w:val="1"/>
    <w:autoRedefine/>
    <w:qFormat/>
    <w:uiPriority w:val="0"/>
    <w:pPr>
      <w:ind w:firstLine="480"/>
    </w:pPr>
  </w:style>
  <w:style w:type="paragraph" w:customStyle="1" w:styleId="218">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0">
    <w:name w:val="_Style 3"/>
    <w:basedOn w:val="3"/>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1">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2">
    <w:name w:val="BZ_正文"/>
    <w:basedOn w:val="1"/>
    <w:qFormat/>
    <w:uiPriority w:val="0"/>
    <w:pPr>
      <w:widowControl/>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44</Pages>
  <Words>13369</Words>
  <Characters>14196</Characters>
  <Lines>241</Lines>
  <Paragraphs>68</Paragraphs>
  <TotalTime>7</TotalTime>
  <ScaleCrop>false</ScaleCrop>
  <LinksUpToDate>false</LinksUpToDate>
  <CharactersWithSpaces>14767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2025-04-01T07:40:00Z</dcterms:created>
  <dc:creator>hp</dc:creator>
  <cp:lastModifiedBy>liuhuicong</cp:lastModifiedBy>
  <cp:lastPrinted>2024-09-23T00:42:00Z</cp:lastPrinted>
  <dcterms:modified xsi:type="dcterms:W3CDTF">2026-01-09T01:34:45Z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C73914DD4D684706915C39DF19BC618B_13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