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p>
    <w:p>
      <w:pPr>
        <w:widowControl/>
        <w:shd w:val="clear" w:color="auto" w:fill="FFFFFF"/>
        <w:spacing w:line="460" w:lineRule="atLeast"/>
        <w:rPr>
          <w:rFonts w:ascii="Times New Roman" w:hAnsi="Times New Roman" w:eastAsia="宋体" w:cs="Times New Roman"/>
          <w:color w:val="000000"/>
          <w:kern w:val="0"/>
          <w:szCs w:val="21"/>
        </w:rPr>
      </w:pPr>
      <w:r>
        <w:rPr>
          <w:rFonts w:ascii="Times New Roman" w:hAnsi="Times New Roman" w:eastAsia="宋体" w:cs="Times New Roman"/>
          <w:color w:val="000000"/>
          <w:kern w:val="0"/>
          <w:sz w:val="24"/>
          <w:szCs w:val="24"/>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t>温州市</w:t>
      </w:r>
      <w:r>
        <w:rPr>
          <w:rFonts w:hint="eastAsia" w:ascii="Times New Roman" w:hAnsi="Times New Roman" w:eastAsia="宋体" w:cs="Times New Roman"/>
          <w:color w:val="000000"/>
          <w:kern w:val="0"/>
          <w:sz w:val="72"/>
          <w:szCs w:val="72"/>
        </w:rPr>
        <w:t>第七人民医院</w:t>
      </w:r>
    </w:p>
    <w:p>
      <w:pPr>
        <w:widowControl/>
        <w:shd w:val="clear" w:color="auto" w:fill="FFFFFF"/>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 w:val="72"/>
          <w:szCs w:val="72"/>
        </w:rPr>
        <w:t>比选</w:t>
      </w:r>
      <w:r>
        <w:rPr>
          <w:rFonts w:ascii="Times New Roman" w:hAnsi="Times New Roman" w:eastAsia="宋体" w:cs="Times New Roman"/>
          <w:color w:val="000000"/>
          <w:kern w:val="0"/>
          <w:sz w:val="72"/>
          <w:szCs w:val="72"/>
        </w:rPr>
        <w:t>采购文件</w:t>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ind w:firstLine="851"/>
        <w:rPr>
          <w:rFonts w:ascii="宋体" w:hAnsi="宋体" w:eastAsia="宋体" w:cs="宋体"/>
          <w:color w:val="000000"/>
          <w:kern w:val="0"/>
          <w:sz w:val="24"/>
          <w:szCs w:val="24"/>
        </w:rPr>
      </w:pPr>
    </w:p>
    <w:p>
      <w:pPr>
        <w:widowControl/>
        <w:shd w:val="clear" w:color="auto" w:fill="FFFFFF"/>
        <w:ind w:left="2446" w:leftChars="400" w:hanging="1606" w:hangingChars="500"/>
        <w:rPr>
          <w:rFonts w:ascii="宋体" w:hAnsi="宋体" w:eastAsia="宋体" w:cs="宋体"/>
          <w:b/>
          <w:bCs/>
          <w:color w:val="000000"/>
          <w:kern w:val="0"/>
          <w:sz w:val="32"/>
        </w:rPr>
      </w:pPr>
      <w:r>
        <w:rPr>
          <w:rFonts w:hint="eastAsia" w:ascii="宋体" w:hAnsi="宋体" w:eastAsia="宋体" w:cs="宋体"/>
          <w:b/>
          <w:bCs/>
          <w:color w:val="000000"/>
          <w:kern w:val="0"/>
          <w:sz w:val="32"/>
        </w:rPr>
        <w:t>项</w:t>
      </w:r>
      <w:r>
        <w:rPr>
          <w:rFonts w:hint="eastAsia" w:ascii="宋体" w:hAnsi="宋体" w:eastAsia="宋体" w:cs="宋体"/>
          <w:bCs/>
          <w:color w:val="000000"/>
          <w:kern w:val="0"/>
          <w:sz w:val="32"/>
        </w:rPr>
        <w:t>目</w:t>
      </w:r>
      <w:r>
        <w:rPr>
          <w:rFonts w:hint="eastAsia" w:ascii="宋体" w:hAnsi="宋体" w:eastAsia="宋体" w:cs="宋体"/>
          <w:b/>
          <w:bCs/>
          <w:color w:val="000000"/>
          <w:kern w:val="0"/>
          <w:sz w:val="32"/>
        </w:rPr>
        <w:t>名称：</w:t>
      </w:r>
      <w:bookmarkStart w:id="0" w:name="_Hlk34131624"/>
      <w:r>
        <w:rPr>
          <w:rFonts w:hint="eastAsia" w:ascii="宋体" w:hAnsi="宋体" w:eastAsia="宋体" w:cs="宋体"/>
          <w:b/>
          <w:bCs/>
          <w:color w:val="000000"/>
          <w:kern w:val="0"/>
          <w:sz w:val="32"/>
        </w:rPr>
        <w:t>温州市第七人民医院</w:t>
      </w:r>
      <w:bookmarkEnd w:id="0"/>
      <w:r>
        <w:rPr>
          <w:rFonts w:hint="eastAsia" w:ascii="宋体" w:hAnsi="宋体" w:eastAsia="宋体" w:cs="宋体"/>
          <w:b/>
          <w:bCs/>
          <w:color w:val="000000"/>
          <w:kern w:val="0"/>
          <w:sz w:val="32"/>
        </w:rPr>
        <w:t>信息安全等级保护复评服务项目</w:t>
      </w:r>
    </w:p>
    <w:p>
      <w:pPr>
        <w:widowControl/>
        <w:shd w:val="clear" w:color="auto" w:fill="FFFFFF"/>
        <w:ind w:firstLine="851"/>
        <w:rPr>
          <w:rFonts w:ascii="宋体" w:hAnsi="宋体" w:eastAsia="宋体" w:cs="宋体"/>
          <w:color w:val="000000"/>
          <w:kern w:val="0"/>
          <w:sz w:val="24"/>
          <w:szCs w:val="24"/>
        </w:rPr>
      </w:pPr>
      <w:r>
        <w:rPr>
          <w:rFonts w:hint="eastAsia" w:ascii="宋体" w:hAnsi="宋体" w:eastAsia="宋体" w:cs="宋体"/>
          <w:b/>
          <w:bCs/>
          <w:color w:val="000000"/>
          <w:kern w:val="0"/>
          <w:sz w:val="32"/>
        </w:rPr>
        <w:t>采购单位：温州市第七人民医院</w:t>
      </w:r>
    </w:p>
    <w:p/>
    <w:p>
      <w:pPr>
        <w:widowControl/>
        <w:jc w:val="left"/>
      </w:pPr>
      <w:r>
        <w:br w:type="page"/>
      </w:r>
    </w:p>
    <w:p>
      <w:pPr>
        <w:rPr>
          <w:rFonts w:asciiTheme="minorEastAsia" w:hAnsiTheme="minorEastAsia"/>
          <w:b/>
          <w:sz w:val="24"/>
          <w:szCs w:val="24"/>
        </w:rPr>
      </w:pPr>
      <w:r>
        <w:rPr>
          <w:rFonts w:hint="eastAsia" w:asciiTheme="minorEastAsia" w:hAnsiTheme="minorEastAsia"/>
          <w:b/>
          <w:sz w:val="24"/>
          <w:szCs w:val="24"/>
        </w:rPr>
        <w:t>一、招标内容</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（一）招标单位：温州市第七人民医院</w:t>
      </w:r>
    </w:p>
    <w:p>
      <w:pPr>
        <w:rPr>
          <w:rFonts w:ascii="宋体" w:eastAsia="宋体"/>
          <w:sz w:val="22"/>
        </w:rPr>
      </w:pPr>
      <w:r>
        <w:rPr>
          <w:rFonts w:hint="eastAsia" w:asciiTheme="minorEastAsia" w:hAnsiTheme="minorEastAsia"/>
          <w:sz w:val="24"/>
          <w:szCs w:val="24"/>
        </w:rPr>
        <w:tab/>
      </w:r>
      <w:r>
        <w:rPr>
          <w:rFonts w:hint="eastAsia" w:asciiTheme="minorEastAsia" w:hAnsiTheme="minorEastAsia"/>
          <w:sz w:val="24"/>
          <w:szCs w:val="24"/>
        </w:rPr>
        <w:t>（二）项目名称：温州市第七人民医院信息安全等级保护复评服务项目</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（三）预算金额：</w:t>
      </w:r>
      <w:r>
        <w:rPr>
          <w:rFonts w:asciiTheme="minorEastAsia" w:hAnsiTheme="minorEastAsia"/>
          <w:sz w:val="24"/>
          <w:szCs w:val="24"/>
        </w:rPr>
        <w:t xml:space="preserve"> </w:t>
      </w:r>
      <w:r>
        <w:rPr>
          <w:rFonts w:hint="eastAsia" w:asciiTheme="minorEastAsia" w:hAnsiTheme="minorEastAsia"/>
          <w:sz w:val="24"/>
          <w:szCs w:val="24"/>
        </w:rPr>
        <w:t>9.8万元</w:t>
      </w:r>
    </w:p>
    <w:p>
      <w:pPr>
        <w:rPr>
          <w:rFonts w:asciiTheme="minorEastAsia" w:hAnsiTheme="minorEastAsia"/>
          <w:sz w:val="24"/>
          <w:szCs w:val="24"/>
        </w:rPr>
      </w:pPr>
      <w:r>
        <w:rPr>
          <w:rFonts w:hint="eastAsia" w:asciiTheme="minorEastAsia" w:hAnsiTheme="minorEastAsia"/>
          <w:sz w:val="24"/>
          <w:szCs w:val="24"/>
        </w:rPr>
        <w:tab/>
      </w:r>
    </w:p>
    <w:p>
      <w:pPr>
        <w:rPr>
          <w:rFonts w:asciiTheme="minorEastAsia" w:hAnsiTheme="minorEastAsia"/>
          <w:sz w:val="24"/>
          <w:szCs w:val="24"/>
        </w:rPr>
      </w:pPr>
    </w:p>
    <w:p>
      <w:pPr>
        <w:rPr>
          <w:rFonts w:asciiTheme="minorEastAsia" w:hAnsiTheme="minorEastAsia"/>
          <w:b/>
          <w:sz w:val="24"/>
          <w:szCs w:val="24"/>
        </w:rPr>
      </w:pPr>
      <w:r>
        <w:rPr>
          <w:rFonts w:hint="eastAsia" w:asciiTheme="minorEastAsia" w:hAnsiTheme="minorEastAsia"/>
          <w:b/>
          <w:sz w:val="24"/>
          <w:szCs w:val="24"/>
        </w:rPr>
        <w:t>二、采购要求</w:t>
      </w:r>
    </w:p>
    <w:p>
      <w:pPr>
        <w:rPr>
          <w:rFonts w:asciiTheme="minorEastAsia" w:hAnsiTheme="minorEastAsia"/>
          <w:bCs/>
          <w:sz w:val="24"/>
          <w:szCs w:val="24"/>
        </w:rPr>
      </w:pPr>
      <w:r>
        <w:rPr>
          <w:rFonts w:hint="eastAsia" w:asciiTheme="minorEastAsia" w:hAnsiTheme="minorEastAsia"/>
          <w:bCs/>
          <w:sz w:val="24"/>
          <w:szCs w:val="24"/>
        </w:rPr>
        <w:tab/>
      </w:r>
    </w:p>
    <w:p>
      <w:pPr>
        <w:rPr>
          <w:rFonts w:asciiTheme="minorEastAsia" w:hAnsiTheme="minorEastAsia"/>
          <w:sz w:val="24"/>
          <w:szCs w:val="24"/>
        </w:rPr>
      </w:pPr>
      <w:r>
        <w:rPr>
          <w:rFonts w:hint="eastAsia" w:asciiTheme="minorEastAsia" w:hAnsiTheme="minorEastAsia"/>
          <w:sz w:val="24"/>
          <w:szCs w:val="24"/>
        </w:rPr>
        <w:t>一、投标人资格要求：</w:t>
      </w:r>
    </w:p>
    <w:p>
      <w:pPr>
        <w:rPr>
          <w:rFonts w:asciiTheme="minorEastAsia" w:hAnsiTheme="minorEastAsia"/>
          <w:sz w:val="24"/>
          <w:szCs w:val="24"/>
        </w:rPr>
      </w:pPr>
      <w:r>
        <w:rPr>
          <w:rFonts w:hint="eastAsia" w:asciiTheme="minorEastAsia" w:hAnsiTheme="minorEastAsia"/>
          <w:sz w:val="24"/>
          <w:szCs w:val="24"/>
        </w:rPr>
        <w:t>具有信息安全等级保护测评资质。</w:t>
      </w:r>
    </w:p>
    <w:p>
      <w:pPr>
        <w:rPr>
          <w:rFonts w:asciiTheme="minorEastAsia" w:hAnsiTheme="minorEastAsia"/>
          <w:sz w:val="24"/>
          <w:szCs w:val="24"/>
        </w:rPr>
      </w:pPr>
      <w:r>
        <w:rPr>
          <w:rFonts w:hint="eastAsia" w:asciiTheme="minorEastAsia" w:hAnsiTheme="minorEastAsia"/>
          <w:sz w:val="24"/>
          <w:szCs w:val="24"/>
        </w:rPr>
        <w:t>二、服务内容</w:t>
      </w:r>
    </w:p>
    <w:p>
      <w:pPr>
        <w:rPr>
          <w:rFonts w:hint="eastAsia" w:asciiTheme="minorEastAsia" w:hAnsiTheme="minorEastAsia"/>
          <w:sz w:val="24"/>
          <w:szCs w:val="24"/>
        </w:rPr>
      </w:pPr>
      <w:r>
        <w:rPr>
          <w:rFonts w:hint="eastAsia" w:asciiTheme="minorEastAsia" w:hAnsiTheme="minorEastAsia"/>
          <w:sz w:val="24"/>
          <w:szCs w:val="24"/>
        </w:rPr>
        <w:t>本次等级测评的对象为以下信息系统，具体视实施过程中招标方需求明确：</w:t>
      </w:r>
    </w:p>
    <w:tbl>
      <w:tblPr>
        <w:tblStyle w:val="7"/>
        <w:tblW w:w="0" w:type="auto"/>
        <w:jc w:val="center"/>
        <w:tblLayout w:type="fixed"/>
        <w:tblCellMar>
          <w:top w:w="0" w:type="dxa"/>
          <w:left w:w="108" w:type="dxa"/>
          <w:bottom w:w="0" w:type="dxa"/>
          <w:right w:w="108" w:type="dxa"/>
        </w:tblCellMar>
      </w:tblPr>
      <w:tblGrid>
        <w:gridCol w:w="912"/>
        <w:gridCol w:w="3871"/>
        <w:gridCol w:w="2155"/>
        <w:gridCol w:w="2410"/>
      </w:tblGrid>
      <w:tr>
        <w:tblPrEx>
          <w:tblCellMar>
            <w:top w:w="0" w:type="dxa"/>
            <w:left w:w="108" w:type="dxa"/>
            <w:bottom w:w="0" w:type="dxa"/>
            <w:right w:w="108" w:type="dxa"/>
          </w:tblCellMar>
        </w:tblPrEx>
        <w:trPr>
          <w:trHeight w:val="255" w:hRule="atLeast"/>
          <w:jc w:val="center"/>
        </w:trPr>
        <w:tc>
          <w:tcPr>
            <w:tcW w:w="912" w:type="dxa"/>
            <w:tcBorders>
              <w:top w:val="double" w:color="000000" w:sz="2" w:space="0"/>
              <w:left w:val="double" w:color="000000" w:sz="2" w:space="0"/>
              <w:bottom w:val="double" w:color="000000" w:sz="2" w:space="0"/>
              <w:right w:val="double" w:color="000000" w:sz="2" w:space="0"/>
            </w:tcBorders>
          </w:tcPr>
          <w:p>
            <w:pPr>
              <w:rPr>
                <w:rFonts w:asciiTheme="minorEastAsia" w:hAnsiTheme="minorEastAsia"/>
                <w:sz w:val="24"/>
                <w:szCs w:val="24"/>
              </w:rPr>
            </w:pPr>
            <w:r>
              <w:rPr>
                <w:rFonts w:hint="eastAsia" w:asciiTheme="minorEastAsia" w:hAnsiTheme="minorEastAsia"/>
                <w:sz w:val="24"/>
                <w:szCs w:val="24"/>
              </w:rPr>
              <w:t>序号</w:t>
            </w:r>
          </w:p>
        </w:tc>
        <w:tc>
          <w:tcPr>
            <w:tcW w:w="3871" w:type="dxa"/>
            <w:tcBorders>
              <w:top w:val="double" w:color="000000" w:sz="2" w:space="0"/>
              <w:left w:val="nil"/>
              <w:bottom w:val="double" w:color="000000" w:sz="2" w:space="0"/>
              <w:right w:val="double" w:color="000000" w:sz="2" w:space="0"/>
            </w:tcBorders>
            <w:vAlign w:val="center"/>
          </w:tcPr>
          <w:p>
            <w:pPr>
              <w:rPr>
                <w:rFonts w:asciiTheme="minorEastAsia" w:hAnsiTheme="minorEastAsia"/>
                <w:sz w:val="24"/>
                <w:szCs w:val="24"/>
              </w:rPr>
            </w:pPr>
            <w:r>
              <w:rPr>
                <w:rFonts w:hint="eastAsia" w:asciiTheme="minorEastAsia" w:hAnsiTheme="minorEastAsia"/>
                <w:sz w:val="24"/>
                <w:szCs w:val="24"/>
              </w:rPr>
              <w:t>系统名称</w:t>
            </w:r>
          </w:p>
        </w:tc>
        <w:tc>
          <w:tcPr>
            <w:tcW w:w="2155" w:type="dxa"/>
            <w:tcBorders>
              <w:top w:val="double" w:color="000000" w:sz="2" w:space="0"/>
              <w:left w:val="nil"/>
              <w:bottom w:val="double" w:color="000000" w:sz="2" w:space="0"/>
              <w:right w:val="double" w:color="000000" w:sz="2" w:space="0"/>
            </w:tcBorders>
            <w:vAlign w:val="center"/>
          </w:tcPr>
          <w:p>
            <w:pPr>
              <w:rPr>
                <w:rFonts w:asciiTheme="minorEastAsia" w:hAnsiTheme="minorEastAsia"/>
                <w:sz w:val="24"/>
                <w:szCs w:val="24"/>
              </w:rPr>
            </w:pPr>
            <w:r>
              <w:rPr>
                <w:rFonts w:hint="eastAsia" w:asciiTheme="minorEastAsia" w:hAnsiTheme="minorEastAsia"/>
                <w:sz w:val="24"/>
                <w:szCs w:val="24"/>
              </w:rPr>
              <w:t>系统等级</w:t>
            </w:r>
          </w:p>
        </w:tc>
        <w:tc>
          <w:tcPr>
            <w:tcW w:w="2410" w:type="dxa"/>
            <w:tcBorders>
              <w:top w:val="double" w:color="000000" w:sz="2" w:space="0"/>
              <w:left w:val="nil"/>
              <w:bottom w:val="double" w:color="000000" w:sz="2" w:space="0"/>
              <w:right w:val="double" w:color="000000" w:sz="2" w:space="0"/>
            </w:tcBorders>
          </w:tcPr>
          <w:p>
            <w:pPr>
              <w:rPr>
                <w:rFonts w:asciiTheme="minorEastAsia" w:hAnsiTheme="minorEastAsia"/>
                <w:sz w:val="24"/>
                <w:szCs w:val="24"/>
              </w:rPr>
            </w:pPr>
            <w:r>
              <w:rPr>
                <w:rFonts w:hint="eastAsia" w:asciiTheme="minorEastAsia" w:hAnsiTheme="minorEastAsia"/>
                <w:sz w:val="24"/>
                <w:szCs w:val="24"/>
              </w:rPr>
              <w:t>备注</w:t>
            </w:r>
          </w:p>
        </w:tc>
      </w:tr>
      <w:tr>
        <w:tblPrEx>
          <w:tblCellMar>
            <w:top w:w="0" w:type="dxa"/>
            <w:left w:w="108" w:type="dxa"/>
            <w:bottom w:w="0" w:type="dxa"/>
            <w:right w:w="108" w:type="dxa"/>
          </w:tblCellMar>
        </w:tblPrEx>
        <w:trPr>
          <w:trHeight w:val="480" w:hRule="atLeast"/>
          <w:jc w:val="center"/>
        </w:trPr>
        <w:tc>
          <w:tcPr>
            <w:tcW w:w="912" w:type="dxa"/>
            <w:tcBorders>
              <w:top w:val="double" w:color="000000" w:sz="2" w:space="0"/>
              <w:left w:val="double" w:color="000000" w:sz="2" w:space="0"/>
              <w:bottom w:val="double" w:color="000000" w:sz="2" w:space="0"/>
              <w:right w:val="double" w:color="000000" w:sz="2" w:space="0"/>
            </w:tcBorders>
          </w:tcPr>
          <w:p>
            <w:pPr>
              <w:rPr>
                <w:rFonts w:asciiTheme="minorEastAsia" w:hAnsiTheme="minorEastAsia"/>
                <w:sz w:val="24"/>
                <w:szCs w:val="24"/>
              </w:rPr>
            </w:pPr>
            <w:r>
              <w:rPr>
                <w:rFonts w:hint="eastAsia" w:asciiTheme="minorEastAsia" w:hAnsiTheme="minorEastAsia"/>
                <w:sz w:val="24"/>
                <w:szCs w:val="24"/>
              </w:rPr>
              <w:t>1</w:t>
            </w:r>
          </w:p>
        </w:tc>
        <w:tc>
          <w:tcPr>
            <w:tcW w:w="3871" w:type="dxa"/>
            <w:tcBorders>
              <w:top w:val="double" w:color="000000" w:sz="2" w:space="0"/>
              <w:left w:val="nil"/>
              <w:bottom w:val="double" w:color="000000" w:sz="2" w:space="0"/>
              <w:right w:val="double" w:color="000000" w:sz="2" w:space="0"/>
            </w:tcBorders>
          </w:tcPr>
          <w:p>
            <w:pPr>
              <w:rPr>
                <w:rFonts w:asciiTheme="minorEastAsia" w:hAnsiTheme="minorEastAsia"/>
                <w:sz w:val="24"/>
                <w:szCs w:val="24"/>
              </w:rPr>
            </w:pPr>
            <w:r>
              <w:rPr>
                <w:rFonts w:hint="eastAsia" w:asciiTheme="minorEastAsia" w:hAnsiTheme="minorEastAsia"/>
                <w:sz w:val="24"/>
                <w:szCs w:val="24"/>
              </w:rPr>
              <w:t>面向患者服务系统</w:t>
            </w:r>
          </w:p>
        </w:tc>
        <w:tc>
          <w:tcPr>
            <w:tcW w:w="2155" w:type="dxa"/>
            <w:tcBorders>
              <w:top w:val="double" w:color="000000" w:sz="2" w:space="0"/>
              <w:left w:val="nil"/>
              <w:bottom w:val="double" w:color="000000" w:sz="2" w:space="0"/>
              <w:right w:val="double" w:color="000000" w:sz="2" w:space="0"/>
            </w:tcBorders>
            <w:vAlign w:val="center"/>
          </w:tcPr>
          <w:p>
            <w:pPr>
              <w:rPr>
                <w:rFonts w:hint="eastAsia" w:asciiTheme="minorEastAsia" w:hAnsiTheme="minorEastAsia"/>
                <w:sz w:val="24"/>
                <w:szCs w:val="24"/>
              </w:rPr>
            </w:pPr>
            <w:r>
              <w:rPr>
                <w:rFonts w:hint="eastAsia" w:asciiTheme="minorEastAsia" w:hAnsiTheme="minorEastAsia"/>
                <w:sz w:val="24"/>
                <w:szCs w:val="24"/>
              </w:rPr>
              <w:t>三级</w:t>
            </w:r>
          </w:p>
        </w:tc>
        <w:tc>
          <w:tcPr>
            <w:tcW w:w="2410" w:type="dxa"/>
            <w:tcBorders>
              <w:top w:val="double" w:color="000000" w:sz="2" w:space="0"/>
              <w:left w:val="nil"/>
              <w:bottom w:val="double" w:color="000000" w:sz="2" w:space="0"/>
              <w:right w:val="double" w:color="000000" w:sz="2" w:space="0"/>
            </w:tcBorders>
          </w:tcPr>
          <w:p>
            <w:pPr>
              <w:rPr>
                <w:rFonts w:asciiTheme="minorEastAsia" w:hAnsiTheme="minorEastAsia"/>
                <w:sz w:val="24"/>
                <w:szCs w:val="24"/>
              </w:rPr>
            </w:pPr>
            <w:r>
              <w:rPr>
                <w:rFonts w:hint="eastAsia" w:asciiTheme="minorEastAsia" w:hAnsiTheme="minorEastAsia"/>
                <w:sz w:val="24"/>
                <w:szCs w:val="24"/>
              </w:rPr>
              <w:t>复评</w:t>
            </w:r>
          </w:p>
        </w:tc>
      </w:tr>
      <w:tr>
        <w:tblPrEx>
          <w:tblCellMar>
            <w:top w:w="0" w:type="dxa"/>
            <w:left w:w="108" w:type="dxa"/>
            <w:bottom w:w="0" w:type="dxa"/>
            <w:right w:w="108" w:type="dxa"/>
          </w:tblCellMar>
        </w:tblPrEx>
        <w:trPr>
          <w:trHeight w:val="480" w:hRule="atLeast"/>
          <w:jc w:val="center"/>
        </w:trPr>
        <w:tc>
          <w:tcPr>
            <w:tcW w:w="912" w:type="dxa"/>
            <w:tcBorders>
              <w:top w:val="double" w:color="000000" w:sz="2" w:space="0"/>
              <w:left w:val="double" w:color="000000" w:sz="2" w:space="0"/>
              <w:bottom w:val="double" w:color="000000" w:sz="2" w:space="0"/>
              <w:right w:val="double" w:color="000000" w:sz="2" w:space="0"/>
            </w:tcBorders>
          </w:tcPr>
          <w:p>
            <w:pPr>
              <w:rPr>
                <w:rFonts w:hint="eastAsia" w:asciiTheme="minorEastAsia" w:hAnsiTheme="minorEastAsia"/>
                <w:sz w:val="24"/>
                <w:szCs w:val="24"/>
              </w:rPr>
            </w:pPr>
            <w:r>
              <w:rPr>
                <w:rFonts w:hint="eastAsia" w:asciiTheme="minorEastAsia" w:hAnsiTheme="minorEastAsia"/>
                <w:sz w:val="24"/>
                <w:szCs w:val="24"/>
              </w:rPr>
              <w:t>2</w:t>
            </w:r>
          </w:p>
        </w:tc>
        <w:tc>
          <w:tcPr>
            <w:tcW w:w="3871" w:type="dxa"/>
            <w:tcBorders>
              <w:top w:val="double" w:color="000000" w:sz="2" w:space="0"/>
              <w:left w:val="nil"/>
              <w:bottom w:val="double" w:color="000000" w:sz="2" w:space="0"/>
              <w:right w:val="double" w:color="000000" w:sz="2" w:space="0"/>
            </w:tcBorders>
          </w:tcPr>
          <w:p>
            <w:pPr>
              <w:rPr>
                <w:rFonts w:asciiTheme="minorEastAsia" w:hAnsiTheme="minorEastAsia"/>
                <w:sz w:val="24"/>
                <w:szCs w:val="24"/>
              </w:rPr>
            </w:pPr>
            <w:r>
              <w:rPr>
                <w:rFonts w:hint="eastAsia" w:asciiTheme="minorEastAsia" w:hAnsiTheme="minorEastAsia"/>
                <w:sz w:val="24"/>
                <w:szCs w:val="24"/>
              </w:rPr>
              <w:t>基础支撑系统</w:t>
            </w:r>
          </w:p>
        </w:tc>
        <w:tc>
          <w:tcPr>
            <w:tcW w:w="2155" w:type="dxa"/>
            <w:tcBorders>
              <w:top w:val="double" w:color="000000" w:sz="2" w:space="0"/>
              <w:left w:val="nil"/>
              <w:bottom w:val="double" w:color="000000" w:sz="2" w:space="0"/>
              <w:right w:val="double" w:color="000000" w:sz="2" w:space="0"/>
            </w:tcBorders>
            <w:vAlign w:val="center"/>
          </w:tcPr>
          <w:p>
            <w:pPr>
              <w:rPr>
                <w:rFonts w:hint="eastAsia" w:asciiTheme="minorEastAsia" w:hAnsiTheme="minorEastAsia"/>
                <w:sz w:val="24"/>
                <w:szCs w:val="24"/>
              </w:rPr>
            </w:pPr>
            <w:r>
              <w:rPr>
                <w:rFonts w:hint="eastAsia" w:asciiTheme="minorEastAsia" w:hAnsiTheme="minorEastAsia"/>
                <w:sz w:val="24"/>
                <w:szCs w:val="24"/>
              </w:rPr>
              <w:t>三级</w:t>
            </w:r>
          </w:p>
        </w:tc>
        <w:tc>
          <w:tcPr>
            <w:tcW w:w="2410" w:type="dxa"/>
            <w:tcBorders>
              <w:top w:val="double" w:color="000000" w:sz="2" w:space="0"/>
              <w:left w:val="nil"/>
              <w:bottom w:val="double" w:color="000000" w:sz="2" w:space="0"/>
              <w:right w:val="double" w:color="000000" w:sz="2" w:space="0"/>
            </w:tcBorders>
          </w:tcPr>
          <w:p>
            <w:pPr>
              <w:rPr>
                <w:rFonts w:asciiTheme="minorEastAsia" w:hAnsiTheme="minorEastAsia"/>
                <w:sz w:val="24"/>
                <w:szCs w:val="24"/>
              </w:rPr>
            </w:pPr>
            <w:r>
              <w:rPr>
                <w:rFonts w:hint="eastAsia" w:asciiTheme="minorEastAsia" w:hAnsiTheme="minorEastAsia"/>
                <w:sz w:val="24"/>
                <w:szCs w:val="24"/>
              </w:rPr>
              <w:t>复评</w:t>
            </w:r>
          </w:p>
        </w:tc>
      </w:tr>
    </w:tbl>
    <w:p>
      <w:pPr>
        <w:rPr>
          <w:rFonts w:asciiTheme="minorEastAsia" w:hAnsiTheme="minorEastAsia"/>
          <w:sz w:val="24"/>
          <w:szCs w:val="24"/>
        </w:rPr>
      </w:pPr>
      <w:r>
        <w:rPr>
          <w:rFonts w:hint="eastAsia" w:asciiTheme="minorEastAsia" w:hAnsiTheme="minorEastAsia"/>
          <w:sz w:val="24"/>
          <w:szCs w:val="24"/>
        </w:rPr>
        <w:t>三、依据标准</w:t>
      </w:r>
    </w:p>
    <w:p>
      <w:pPr>
        <w:rPr>
          <w:rFonts w:asciiTheme="minorEastAsia" w:hAnsiTheme="minorEastAsia"/>
          <w:sz w:val="24"/>
          <w:szCs w:val="24"/>
        </w:rPr>
      </w:pPr>
      <w:r>
        <w:rPr>
          <w:rFonts w:hint="eastAsia" w:asciiTheme="minorEastAsia" w:hAnsiTheme="minorEastAsia"/>
          <w:sz w:val="24"/>
          <w:szCs w:val="24"/>
        </w:rPr>
        <w:t>实施方应依据国家等级保护相关标准开展工作，依据标准包括但不限于如下国家标准：</w:t>
      </w:r>
    </w:p>
    <w:p>
      <w:pPr>
        <w:rPr>
          <w:rFonts w:hint="eastAsia" w:asciiTheme="minorEastAsia" w:hAnsiTheme="minorEastAsia"/>
          <w:sz w:val="24"/>
          <w:szCs w:val="24"/>
        </w:rPr>
      </w:pPr>
      <w:r>
        <w:rPr>
          <w:rFonts w:hint="eastAsia" w:asciiTheme="minorEastAsia" w:hAnsiTheme="minorEastAsia"/>
          <w:sz w:val="24"/>
          <w:szCs w:val="24"/>
        </w:rPr>
        <w:t>GB/T 22239-2019 信息安全技术 网络安全等级保护基本要求</w:t>
      </w:r>
    </w:p>
    <w:p>
      <w:pPr>
        <w:rPr>
          <w:rFonts w:asciiTheme="minorEastAsia" w:hAnsiTheme="minorEastAsia"/>
          <w:sz w:val="24"/>
          <w:szCs w:val="24"/>
        </w:rPr>
      </w:pPr>
    </w:p>
    <w:p>
      <w:pPr>
        <w:rPr>
          <w:rFonts w:hint="eastAsia" w:asciiTheme="minorEastAsia" w:hAnsiTheme="minorEastAsia"/>
          <w:sz w:val="24"/>
          <w:szCs w:val="24"/>
        </w:rPr>
      </w:pPr>
      <w:r>
        <w:rPr>
          <w:rFonts w:hint="eastAsia" w:asciiTheme="minorEastAsia" w:hAnsiTheme="minorEastAsia"/>
          <w:sz w:val="24"/>
          <w:szCs w:val="24"/>
        </w:rPr>
        <w:t>GB/T 22240-2020 信息安全技术 网络安全等级保护定级指南</w:t>
      </w:r>
    </w:p>
    <w:p>
      <w:pPr>
        <w:rPr>
          <w:rFonts w:asciiTheme="minorEastAsia" w:hAnsiTheme="minorEastAsia"/>
          <w:sz w:val="24"/>
          <w:szCs w:val="24"/>
        </w:rPr>
      </w:pPr>
    </w:p>
    <w:p>
      <w:pPr>
        <w:rPr>
          <w:rFonts w:hint="eastAsia" w:asciiTheme="minorEastAsia" w:hAnsiTheme="minorEastAsia"/>
          <w:sz w:val="24"/>
          <w:szCs w:val="24"/>
        </w:rPr>
      </w:pPr>
      <w:r>
        <w:rPr>
          <w:rFonts w:hint="eastAsia" w:asciiTheme="minorEastAsia" w:hAnsiTheme="minorEastAsia"/>
          <w:sz w:val="24"/>
          <w:szCs w:val="24"/>
        </w:rPr>
        <w:t>GB/T 25058-2019 信息安全技术 网络安全等级保护实施指南</w:t>
      </w:r>
    </w:p>
    <w:p>
      <w:pPr>
        <w:rPr>
          <w:rFonts w:asciiTheme="minorEastAsia" w:hAnsiTheme="minorEastAsia"/>
          <w:sz w:val="24"/>
          <w:szCs w:val="24"/>
        </w:rPr>
      </w:pPr>
    </w:p>
    <w:p>
      <w:pPr>
        <w:rPr>
          <w:rFonts w:hint="eastAsia" w:asciiTheme="minorEastAsia" w:hAnsiTheme="minorEastAsia"/>
          <w:sz w:val="24"/>
          <w:szCs w:val="24"/>
        </w:rPr>
      </w:pPr>
      <w:r>
        <w:rPr>
          <w:rFonts w:hint="eastAsia" w:asciiTheme="minorEastAsia" w:hAnsiTheme="minorEastAsia"/>
          <w:sz w:val="24"/>
          <w:szCs w:val="24"/>
        </w:rPr>
        <w:t>GB/T 25070-2019 信息安全技术 网络安全等级保护安全设计要求</w:t>
      </w:r>
    </w:p>
    <w:p>
      <w:pPr>
        <w:rPr>
          <w:rFonts w:asciiTheme="minorEastAsia" w:hAnsiTheme="minorEastAsia"/>
          <w:sz w:val="24"/>
          <w:szCs w:val="24"/>
        </w:rPr>
      </w:pPr>
    </w:p>
    <w:p>
      <w:pPr>
        <w:rPr>
          <w:rFonts w:hint="eastAsia" w:asciiTheme="minorEastAsia" w:hAnsiTheme="minorEastAsia"/>
          <w:sz w:val="24"/>
          <w:szCs w:val="24"/>
        </w:rPr>
      </w:pPr>
      <w:r>
        <w:rPr>
          <w:rFonts w:hint="eastAsia" w:asciiTheme="minorEastAsia" w:hAnsiTheme="minorEastAsia"/>
          <w:sz w:val="24"/>
          <w:szCs w:val="24"/>
        </w:rPr>
        <w:t>GB/T 28848-2019 信息安全技术 网络安全等级保护测评要求</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GB/T 28849-2018  信息安全技术 网络安全等级保护测评过程指南</w:t>
      </w:r>
    </w:p>
    <w:p>
      <w:pPr>
        <w:rPr>
          <w:rFonts w:hint="eastAsia"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四、技术要求</w:t>
      </w:r>
    </w:p>
    <w:p>
      <w:pPr>
        <w:rPr>
          <w:rFonts w:asciiTheme="minorEastAsia" w:hAnsiTheme="minorEastAsia"/>
          <w:sz w:val="24"/>
          <w:szCs w:val="24"/>
        </w:rPr>
      </w:pPr>
      <w:r>
        <w:rPr>
          <w:rFonts w:hint="eastAsia" w:asciiTheme="minorEastAsia" w:hAnsiTheme="minorEastAsia"/>
          <w:sz w:val="24"/>
          <w:szCs w:val="24"/>
        </w:rPr>
        <w:t>根据国家网络安全等级保护相关标准，实施方对我院信息系统安全等级保护测评的内容包括但不限于以下内容：</w:t>
      </w:r>
    </w:p>
    <w:p>
      <w:pPr>
        <w:rPr>
          <w:rFonts w:asciiTheme="minorEastAsia" w:hAnsiTheme="minorEastAsia"/>
          <w:sz w:val="24"/>
          <w:szCs w:val="24"/>
        </w:rPr>
      </w:pPr>
      <w:r>
        <w:rPr>
          <w:rFonts w:hint="eastAsia" w:asciiTheme="minorEastAsia" w:hAnsiTheme="minorEastAsia"/>
          <w:sz w:val="24"/>
          <w:szCs w:val="24"/>
        </w:rPr>
        <w:t>安全技术测评：包括物理安全、网络安全、主机系统安全、应用安全和数据安全等五个方面的安全测评；</w:t>
      </w:r>
    </w:p>
    <w:p>
      <w:pPr>
        <w:rPr>
          <w:rFonts w:asciiTheme="minorEastAsia" w:hAnsiTheme="minorEastAsia"/>
          <w:sz w:val="24"/>
          <w:szCs w:val="24"/>
        </w:rPr>
      </w:pPr>
      <w:r>
        <w:rPr>
          <w:rFonts w:hint="eastAsia" w:asciiTheme="minorEastAsia" w:hAnsiTheme="minorEastAsia"/>
          <w:sz w:val="24"/>
          <w:szCs w:val="24"/>
        </w:rPr>
        <w:t>安全管理测评：安全管理机构、安全管理制度、人员安全管理、系统建设管理和系统运维管理等五个方面的安全测评；</w:t>
      </w:r>
    </w:p>
    <w:p>
      <w:pPr>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、等级测评要求</w:t>
      </w:r>
    </w:p>
    <w:p>
      <w:pPr>
        <w:rPr>
          <w:rFonts w:asciiTheme="minorEastAsia" w:hAnsiTheme="minorEastAsia"/>
          <w:sz w:val="24"/>
          <w:szCs w:val="24"/>
        </w:rPr>
      </w:pPr>
      <w:r>
        <w:rPr>
          <w:rFonts w:hint="eastAsia" w:asciiTheme="minorEastAsia" w:hAnsiTheme="minorEastAsia"/>
          <w:sz w:val="24"/>
          <w:szCs w:val="24"/>
        </w:rPr>
        <w:t>1)实施方应在对本单位系统详细了解的基础上，编制针对性的等级保护测评整体实施方案，包括项目概述、等级测评范围和内容、项目实施流程、测试过程中需使用测试设备清单、时间安排、阶段性文档提交和验收标准等。</w:t>
      </w:r>
    </w:p>
    <w:p>
      <w:pPr>
        <w:rPr>
          <w:rFonts w:asciiTheme="minorEastAsia" w:hAnsiTheme="minorEastAsia"/>
          <w:sz w:val="24"/>
          <w:szCs w:val="24"/>
        </w:rPr>
      </w:pPr>
      <w:r>
        <w:rPr>
          <w:rFonts w:hint="eastAsia" w:asciiTheme="minorEastAsia" w:hAnsiTheme="minorEastAsia"/>
          <w:sz w:val="24"/>
          <w:szCs w:val="24"/>
        </w:rPr>
        <w:t>2)实施方应详细描述测评人员的组成、资质及各自职责的划分。实施方应配置有经验的测评人员进行本次等级测评工作。</w:t>
      </w:r>
    </w:p>
    <w:p>
      <w:pPr>
        <w:rPr>
          <w:rFonts w:asciiTheme="minorEastAsia" w:hAnsiTheme="minorEastAsia"/>
          <w:sz w:val="24"/>
          <w:szCs w:val="24"/>
        </w:rPr>
      </w:pPr>
      <w:r>
        <w:rPr>
          <w:rFonts w:hint="eastAsia" w:asciiTheme="minorEastAsia" w:hAnsiTheme="minorEastAsia"/>
          <w:sz w:val="24"/>
          <w:szCs w:val="24"/>
        </w:rPr>
        <w:t>3)本次等级测评实施过程中所使用到的各种工具软件由实施方推荐，经采购方确认后由实施方提供并在测评中使用。在投标文件中应详细描述所使用的安全测评工具（软硬件型号、功能和性能描述）、使用的方式和时间、对环境和平台的要求以及使用可能对系统造成的风险等。</w:t>
      </w:r>
    </w:p>
    <w:p>
      <w:pPr>
        <w:rPr>
          <w:rFonts w:asciiTheme="minorEastAsia" w:hAnsiTheme="minorEastAsia"/>
          <w:sz w:val="24"/>
          <w:szCs w:val="24"/>
        </w:rPr>
      </w:pPr>
      <w:r>
        <w:rPr>
          <w:rFonts w:hint="eastAsia" w:asciiTheme="minorEastAsia" w:hAnsiTheme="minorEastAsia"/>
          <w:sz w:val="24"/>
          <w:szCs w:val="24"/>
        </w:rPr>
        <w:t>4)对于在测评过程中采用的测评方法、测评所使用的工具、测评所覆盖的各方面，需要符合信息安全等级保护主管部门要求，包括但不仅仅包括网络隐患检测工具、数据库漏洞检测工具、应用安全检测工具、网站安全检测工具等。</w:t>
      </w:r>
    </w:p>
    <w:p>
      <w:pPr>
        <w:rPr>
          <w:rFonts w:asciiTheme="minorEastAsia" w:hAnsiTheme="minorEastAsia"/>
          <w:sz w:val="24"/>
          <w:szCs w:val="24"/>
        </w:rPr>
      </w:pPr>
      <w:r>
        <w:rPr>
          <w:rFonts w:hint="eastAsia" w:asciiTheme="minorEastAsia" w:hAnsiTheme="minorEastAsia"/>
          <w:sz w:val="24"/>
          <w:szCs w:val="24"/>
        </w:rPr>
        <w:t>5)安全测评工具软件运行可能需要的硬件平台（如笔记本电脑、PC、工作站等）和操作系统软件等由实施方推荐，经采购方确认后由实施方提供并在测评中使用。</w:t>
      </w:r>
    </w:p>
    <w:p>
      <w:pPr>
        <w:rPr>
          <w:rFonts w:asciiTheme="minorEastAsia" w:hAnsiTheme="minorEastAsia"/>
          <w:sz w:val="24"/>
          <w:szCs w:val="24"/>
        </w:rPr>
      </w:pPr>
      <w:r>
        <w:rPr>
          <w:rFonts w:hint="eastAsia" w:asciiTheme="minorEastAsia" w:hAnsiTheme="minorEastAsia"/>
          <w:sz w:val="24"/>
          <w:szCs w:val="24"/>
        </w:rPr>
        <w:t>6)安全测评需要的运行环境（如场地、网络环境等）由采购方提供，实施方应详细描述需要的运行环境的具体要求。</w:t>
      </w:r>
    </w:p>
    <w:p>
      <w:pPr>
        <w:rPr>
          <w:rFonts w:asciiTheme="minorEastAsia" w:hAnsiTheme="minorEastAsia"/>
          <w:sz w:val="24"/>
          <w:szCs w:val="24"/>
        </w:rPr>
      </w:pPr>
      <w:r>
        <w:rPr>
          <w:rFonts w:hint="eastAsia" w:asciiTheme="minorEastAsia" w:hAnsiTheme="minorEastAsia"/>
          <w:sz w:val="24"/>
          <w:szCs w:val="24"/>
        </w:rPr>
        <w:t>7)项目完成后必须提交完整的技术文档、测评报告、整改建议等。</w:t>
      </w:r>
    </w:p>
    <w:p>
      <w:pPr>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、项目实施要求</w:t>
      </w:r>
    </w:p>
    <w:p>
      <w:pPr>
        <w:rPr>
          <w:rFonts w:asciiTheme="minorEastAsia" w:hAnsiTheme="minorEastAsia"/>
          <w:sz w:val="24"/>
          <w:szCs w:val="24"/>
        </w:rPr>
      </w:pPr>
      <w:r>
        <w:rPr>
          <w:rFonts w:hint="eastAsia" w:asciiTheme="minorEastAsia" w:hAnsiTheme="minorEastAsia"/>
          <w:sz w:val="24"/>
          <w:szCs w:val="24"/>
        </w:rPr>
        <w:t>1)实施方应保证投标项目在采购方条件成熟时应立即开展实施；</w:t>
      </w:r>
    </w:p>
    <w:p>
      <w:pPr>
        <w:rPr>
          <w:rFonts w:asciiTheme="minorEastAsia" w:hAnsiTheme="minorEastAsia"/>
          <w:sz w:val="24"/>
          <w:szCs w:val="24"/>
        </w:rPr>
      </w:pPr>
      <w:r>
        <w:rPr>
          <w:rFonts w:hint="eastAsia" w:asciiTheme="minorEastAsia" w:hAnsiTheme="minorEastAsia"/>
          <w:sz w:val="24"/>
          <w:szCs w:val="24"/>
        </w:rPr>
        <w:t>2)实施方在项目实施过程中应服从采购方的统一领导和协调，采购方有权裁决实施方的责任范围，实施方必须执行，在采购方限定的时间内解决问题。如果实施方不能按时完成测评内容，采购方有权中止项目、索赔或拒付款项；</w:t>
      </w:r>
    </w:p>
    <w:p>
      <w:pPr>
        <w:rPr>
          <w:rFonts w:asciiTheme="minorEastAsia" w:hAnsiTheme="minorEastAsia"/>
          <w:sz w:val="24"/>
          <w:szCs w:val="24"/>
        </w:rPr>
      </w:pPr>
      <w:r>
        <w:rPr>
          <w:rFonts w:hint="eastAsia" w:asciiTheme="minorEastAsia" w:hAnsiTheme="minorEastAsia"/>
          <w:sz w:val="24"/>
          <w:szCs w:val="24"/>
        </w:rPr>
        <w:t>3)实施方需根据自己的工程实施经验结合采购方的实际需求进一步细化和完善工作任务书，作为工程实施的指导性文件；</w:t>
      </w:r>
    </w:p>
    <w:p>
      <w:pPr>
        <w:rPr>
          <w:rFonts w:asciiTheme="minorEastAsia" w:hAnsiTheme="minorEastAsia"/>
          <w:sz w:val="24"/>
          <w:szCs w:val="24"/>
        </w:rPr>
      </w:pPr>
      <w:r>
        <w:rPr>
          <w:rFonts w:hint="eastAsia" w:asciiTheme="minorEastAsia" w:hAnsiTheme="minorEastAsia"/>
          <w:sz w:val="24"/>
          <w:szCs w:val="24"/>
        </w:rPr>
        <w:t>4)实施方应根据采购方工作需求、进度要求、实际情况制定详细的项目实施管理规范和项目实施计划，对工程目标、工作任务、阶段性工作、项目组织机构、职责分工、项目进度、质量控制等内容进行详细的说明，以确保工程实施按时保质的完成；</w:t>
      </w:r>
    </w:p>
    <w:p>
      <w:pPr>
        <w:rPr>
          <w:rFonts w:asciiTheme="minorEastAsia" w:hAnsiTheme="minorEastAsia"/>
          <w:sz w:val="24"/>
          <w:szCs w:val="24"/>
        </w:rPr>
      </w:pPr>
      <w:r>
        <w:rPr>
          <w:rFonts w:hint="eastAsia" w:asciiTheme="minorEastAsia" w:hAnsiTheme="minorEastAsia"/>
          <w:sz w:val="24"/>
          <w:szCs w:val="24"/>
        </w:rPr>
        <w:t>5)三年内未被国家网络安全等级保护工作协调小组办公室责令整改的测评机构</w:t>
      </w:r>
    </w:p>
    <w:p>
      <w:pPr>
        <w:rPr>
          <w:rFonts w:asciiTheme="minorEastAsia" w:hAnsiTheme="minorEastAsia"/>
          <w:sz w:val="24"/>
          <w:szCs w:val="24"/>
        </w:rPr>
      </w:pPr>
      <w:r>
        <w:rPr>
          <w:rFonts w:hint="eastAsia" w:asciiTheme="minorEastAsia" w:hAnsiTheme="minorEastAsia"/>
          <w:sz w:val="24"/>
          <w:szCs w:val="24"/>
        </w:rPr>
        <w:t>6)项目验收完成后，要求提供为期一年的安全咨询服务，以保证项目正常运行。</w:t>
      </w:r>
    </w:p>
    <w:p>
      <w:pPr>
        <w:rPr>
          <w:rFonts w:asciiTheme="minorEastAsia" w:hAnsiTheme="minorEastAsia"/>
          <w:sz w:val="24"/>
          <w:szCs w:val="24"/>
        </w:rPr>
      </w:pPr>
      <w:r>
        <w:rPr>
          <w:rFonts w:hint="eastAsia" w:asciiTheme="minorEastAsia" w:hAnsiTheme="minorEastAsia"/>
          <w:sz w:val="24"/>
          <w:szCs w:val="24"/>
        </w:rPr>
        <w:t>五、测评报告要求</w:t>
      </w:r>
    </w:p>
    <w:p>
      <w:pPr>
        <w:rPr>
          <w:rFonts w:asciiTheme="minorEastAsia" w:hAnsiTheme="minorEastAsia"/>
          <w:sz w:val="24"/>
          <w:szCs w:val="24"/>
        </w:rPr>
      </w:pPr>
      <w:r>
        <w:rPr>
          <w:rFonts w:hint="eastAsia" w:asciiTheme="minorEastAsia" w:hAnsiTheme="minorEastAsia"/>
          <w:sz w:val="24"/>
          <w:szCs w:val="24"/>
        </w:rPr>
        <w:t>实施方应对采购人的各个信息系统进行等级保护测评，形成相应的报告。</w:t>
      </w:r>
    </w:p>
    <w:p>
      <w:pPr>
        <w:rPr>
          <w:rFonts w:asciiTheme="minorEastAsia" w:hAnsiTheme="minorEastAsia"/>
          <w:sz w:val="24"/>
          <w:szCs w:val="24"/>
        </w:rPr>
      </w:pPr>
      <w:r>
        <w:rPr>
          <w:rFonts w:hint="eastAsia" w:asciiTheme="minorEastAsia" w:hAnsiTheme="minorEastAsia"/>
          <w:sz w:val="24"/>
          <w:szCs w:val="24"/>
        </w:rPr>
        <w:t>1)实施方在测评完成后，出具符合信息安全等级保护主管部门要求的信息系统安全等级保护测评报告；</w:t>
      </w:r>
    </w:p>
    <w:p>
      <w:pPr>
        <w:rPr>
          <w:rFonts w:asciiTheme="minorEastAsia" w:hAnsiTheme="minorEastAsia"/>
          <w:sz w:val="24"/>
          <w:szCs w:val="24"/>
        </w:rPr>
      </w:pPr>
      <w:r>
        <w:rPr>
          <w:rFonts w:hint="eastAsia" w:asciiTheme="minorEastAsia" w:hAnsiTheme="minorEastAsia"/>
          <w:sz w:val="24"/>
          <w:szCs w:val="24"/>
        </w:rPr>
        <w:t>2)对不符合信息安全等级保护有关管理规范和技术标准的，实施方出具可行的信息系统整改建议，并指导用户方完成整改；</w:t>
      </w:r>
    </w:p>
    <w:p>
      <w:pPr>
        <w:rPr>
          <w:rFonts w:asciiTheme="minorEastAsia" w:hAnsiTheme="minorEastAsia"/>
          <w:sz w:val="24"/>
          <w:szCs w:val="24"/>
        </w:rPr>
      </w:pPr>
      <w:r>
        <w:rPr>
          <w:rFonts w:hint="eastAsia" w:asciiTheme="minorEastAsia" w:hAnsiTheme="minorEastAsia"/>
          <w:sz w:val="24"/>
          <w:szCs w:val="24"/>
        </w:rPr>
        <w:t>3)实施方协助用户方办理信息系统安全等级保护备案手续等相关工作。</w:t>
      </w:r>
    </w:p>
    <w:p>
      <w:pPr>
        <w:rPr>
          <w:rFonts w:hint="eastAsia" w:asciiTheme="minorEastAsia" w:hAnsiTheme="minorEastAsia"/>
          <w:bCs/>
          <w:sz w:val="24"/>
          <w:szCs w:val="24"/>
        </w:rPr>
      </w:pPr>
    </w:p>
    <w:p>
      <w:pPr>
        <w:rPr>
          <w:rFonts w:asciiTheme="minorEastAsia" w:hAnsiTheme="minorEastAsia"/>
          <w:bCs/>
          <w:sz w:val="24"/>
          <w:szCs w:val="24"/>
        </w:rPr>
      </w:pPr>
      <w:r>
        <w:rPr>
          <w:rFonts w:asciiTheme="minorEastAsia" w:hAnsiTheme="minorEastAsia"/>
          <w:bCs/>
          <w:sz w:val="24"/>
          <w:szCs w:val="24"/>
        </w:rPr>
        <w:t>★投标人可根据以上所列</w:t>
      </w:r>
      <w:r>
        <w:rPr>
          <w:rFonts w:hint="eastAsia" w:asciiTheme="minorEastAsia" w:hAnsiTheme="minorEastAsia"/>
          <w:bCs/>
          <w:sz w:val="24"/>
          <w:szCs w:val="24"/>
        </w:rPr>
        <w:t>服务</w:t>
      </w:r>
      <w:r>
        <w:rPr>
          <w:rFonts w:asciiTheme="minorEastAsia" w:hAnsiTheme="minorEastAsia"/>
          <w:bCs/>
          <w:sz w:val="24"/>
          <w:szCs w:val="24"/>
        </w:rPr>
        <w:t>要求作为</w:t>
      </w:r>
      <w:r>
        <w:rPr>
          <w:rFonts w:hint="eastAsia" w:asciiTheme="minorEastAsia" w:hAnsiTheme="minorEastAsia"/>
          <w:bCs/>
          <w:sz w:val="24"/>
          <w:szCs w:val="24"/>
        </w:rPr>
        <w:t>提供服务内容依据</w:t>
      </w:r>
      <w:r>
        <w:rPr>
          <w:rFonts w:asciiTheme="minorEastAsia" w:hAnsiTheme="minorEastAsia"/>
          <w:bCs/>
          <w:sz w:val="24"/>
          <w:szCs w:val="24"/>
        </w:rPr>
        <w:t>，但所</w:t>
      </w:r>
      <w:r>
        <w:rPr>
          <w:rFonts w:hint="eastAsia" w:asciiTheme="minorEastAsia" w:hAnsiTheme="minorEastAsia"/>
          <w:bCs/>
          <w:sz w:val="24"/>
          <w:szCs w:val="24"/>
        </w:rPr>
        <w:t>提供服务</w:t>
      </w:r>
      <w:r>
        <w:rPr>
          <w:rFonts w:asciiTheme="minorEastAsia" w:hAnsiTheme="minorEastAsia"/>
          <w:bCs/>
          <w:sz w:val="24"/>
          <w:szCs w:val="24"/>
        </w:rPr>
        <w:t>应相当于或高于招标文件要求，并满足采购需求，</w:t>
      </w:r>
      <w:r>
        <w:rPr>
          <w:rFonts w:hint="eastAsia" w:asciiTheme="minorEastAsia" w:hAnsiTheme="minorEastAsia"/>
          <w:bCs/>
          <w:sz w:val="24"/>
          <w:szCs w:val="24"/>
        </w:rPr>
        <w:t>否则将承担由此引起的一切后果。</w:t>
      </w:r>
    </w:p>
    <w:p>
      <w:pPr>
        <w:widowControl/>
        <w:jc w:val="left"/>
        <w:rPr>
          <w:rFonts w:asciiTheme="minorEastAsia" w:hAnsiTheme="minorEastAsia"/>
          <w:sz w:val="24"/>
          <w:szCs w:val="24"/>
        </w:rPr>
      </w:pPr>
      <w:r>
        <w:rPr>
          <w:rFonts w:asciiTheme="minorEastAsia" w:hAnsiTheme="minorEastAsia"/>
          <w:sz w:val="24"/>
          <w:szCs w:val="24"/>
        </w:rPr>
        <w:br w:type="page"/>
      </w:r>
    </w:p>
    <w:p>
      <w:pPr>
        <w:rPr>
          <w:rFonts w:asciiTheme="minorEastAsia" w:hAnsiTheme="minorEastAsia"/>
          <w:sz w:val="24"/>
          <w:szCs w:val="24"/>
        </w:rPr>
      </w:pPr>
    </w:p>
    <w:p>
      <w:pPr>
        <w:rPr>
          <w:rFonts w:asciiTheme="minorEastAsia" w:hAnsiTheme="minorEastAsia"/>
          <w:b/>
          <w:sz w:val="24"/>
          <w:szCs w:val="24"/>
        </w:rPr>
      </w:pPr>
      <w:r>
        <w:rPr>
          <w:rFonts w:hint="eastAsia" w:asciiTheme="minorEastAsia" w:hAnsiTheme="minorEastAsia"/>
          <w:b/>
          <w:sz w:val="24"/>
          <w:szCs w:val="24"/>
        </w:rPr>
        <w:t>三、投标文件的组成</w:t>
      </w:r>
    </w:p>
    <w:p>
      <w:pPr>
        <w:jc w:val="both"/>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（一）投标报价单（附件一）</w:t>
      </w:r>
    </w:p>
    <w:p>
      <w:pPr>
        <w:jc w:val="both"/>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（二）法定代表人授权书(附件二)</w:t>
      </w:r>
    </w:p>
    <w:p>
      <w:pPr>
        <w:jc w:val="both"/>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（三）企业法人有效营业执照复印件</w:t>
      </w:r>
    </w:p>
    <w:p>
      <w:pPr>
        <w:ind w:firstLine="480" w:firstLineChars="200"/>
        <w:jc w:val="both"/>
        <w:rPr>
          <w:rFonts w:hint="eastAsia" w:asciiTheme="minorEastAsia" w:hAnsiTheme="minorEastAsia"/>
          <w:sz w:val="24"/>
          <w:szCs w:val="24"/>
        </w:rPr>
      </w:pPr>
      <w:r>
        <w:rPr>
          <w:rFonts w:hint="eastAsia" w:asciiTheme="minorEastAsia" w:hAnsiTheme="minorEastAsia"/>
          <w:sz w:val="24"/>
          <w:szCs w:val="24"/>
        </w:rPr>
        <w:t>（四）投标承诺函（附件三）</w:t>
      </w:r>
    </w:p>
    <w:p>
      <w:pPr>
        <w:ind w:firstLine="480" w:firstLineChars="200"/>
        <w:jc w:val="both"/>
      </w:pPr>
      <w:r>
        <w:rPr>
          <w:rFonts w:hint="eastAsia" w:asciiTheme="minorEastAsia" w:hAnsiTheme="minorEastAsia"/>
          <w:sz w:val="24"/>
          <w:szCs w:val="24"/>
        </w:rPr>
        <w:t>（五）采购要求响应表（附件四）</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w:t>
      </w:r>
      <w:r>
        <w:rPr>
          <w:rFonts w:hint="eastAsia" w:asciiTheme="minorEastAsia" w:hAnsiTheme="minorEastAsia"/>
          <w:sz w:val="24"/>
          <w:szCs w:val="24"/>
          <w:lang w:eastAsia="zh-CN"/>
        </w:rPr>
        <w:t>六</w:t>
      </w:r>
      <w:r>
        <w:rPr>
          <w:rFonts w:hint="eastAsia" w:asciiTheme="minorEastAsia" w:hAnsiTheme="minorEastAsia"/>
          <w:sz w:val="24"/>
          <w:szCs w:val="24"/>
        </w:rPr>
        <w:t>）投标人认为需要提供的其他技术资料</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以上复印件均需加盖公章。</w:t>
      </w:r>
      <w:bookmarkStart w:id="1" w:name="_GoBack"/>
      <w:bookmarkEnd w:id="1"/>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投标人应根据比选文件所提供的格式，内容按顺序装订成册，分别装于技术标和商务标内。投标人应提供技术标、商务标各一式四份的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pPr>
        <w:rPr>
          <w:rFonts w:asciiTheme="minorEastAsia" w:hAnsiTheme="minorEastAsia"/>
          <w:b/>
          <w:sz w:val="24"/>
          <w:szCs w:val="24"/>
        </w:rPr>
      </w:pPr>
      <w:r>
        <w:rPr>
          <w:rFonts w:hint="eastAsia" w:asciiTheme="minorEastAsia" w:hAnsiTheme="minorEastAsia"/>
          <w:b/>
          <w:sz w:val="24"/>
          <w:szCs w:val="24"/>
        </w:rPr>
        <w:t>四、评审方式</w:t>
      </w:r>
    </w:p>
    <w:p>
      <w:pPr>
        <w:rPr>
          <w:rFonts w:asciiTheme="minorEastAsia" w:hAnsiTheme="minorEastAsia"/>
          <w:sz w:val="24"/>
          <w:szCs w:val="24"/>
        </w:rPr>
      </w:pPr>
      <w:r>
        <w:rPr>
          <w:rFonts w:hint="eastAsia" w:asciiTheme="minorEastAsia" w:hAnsiTheme="minorEastAsia"/>
          <w:sz w:val="24"/>
          <w:szCs w:val="24"/>
        </w:rPr>
        <w:t xml:space="preserve">   （一）技术分的评定（</w:t>
      </w:r>
      <w:r>
        <w:rPr>
          <w:rFonts w:hint="eastAsia" w:asciiTheme="minorEastAsia" w:hAnsiTheme="minorEastAsia"/>
          <w:sz w:val="24"/>
          <w:szCs w:val="24"/>
          <w:lang w:val="en-US" w:eastAsia="zh-CN"/>
        </w:rPr>
        <w:t>7</w:t>
      </w:r>
      <w:r>
        <w:rPr>
          <w:rFonts w:hint="eastAsia" w:asciiTheme="minorEastAsia" w:hAnsiTheme="minorEastAsia"/>
          <w:sz w:val="24"/>
          <w:szCs w:val="24"/>
        </w:rPr>
        <w:t>0分）（权值</w:t>
      </w:r>
      <w:r>
        <w:rPr>
          <w:rFonts w:hint="eastAsia" w:asciiTheme="minorEastAsia" w:hAnsiTheme="minorEastAsia"/>
          <w:sz w:val="24"/>
          <w:szCs w:val="24"/>
          <w:lang w:val="en-US" w:eastAsia="zh-CN"/>
        </w:rPr>
        <w:t>7</w:t>
      </w:r>
      <w:r>
        <w:rPr>
          <w:rFonts w:hint="eastAsia" w:asciiTheme="minorEastAsia" w:hAnsiTheme="minorEastAsia"/>
          <w:sz w:val="24"/>
          <w:szCs w:val="24"/>
        </w:rPr>
        <w:t>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7"/>
        <w:tblW w:w="93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334"/>
        <w:gridCol w:w="724"/>
        <w:gridCol w:w="6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序号</w:t>
            </w:r>
          </w:p>
        </w:tc>
        <w:tc>
          <w:tcPr>
            <w:tcW w:w="133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评分项</w:t>
            </w:r>
          </w:p>
        </w:tc>
        <w:tc>
          <w:tcPr>
            <w:tcW w:w="72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分值</w:t>
            </w:r>
          </w:p>
        </w:tc>
        <w:tc>
          <w:tcPr>
            <w:tcW w:w="6492"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评审要求及打分说明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vMerge w:val="restart"/>
            <w:noWrap w:val="0"/>
            <w:vAlign w:val="center"/>
          </w:tcPr>
          <w:p>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w:t>
            </w:r>
          </w:p>
        </w:tc>
        <w:tc>
          <w:tcPr>
            <w:tcW w:w="1334" w:type="dxa"/>
            <w:vMerge w:val="restart"/>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响应及技术方案</w:t>
            </w:r>
          </w:p>
        </w:tc>
        <w:tc>
          <w:tcPr>
            <w:tcW w:w="724" w:type="dxa"/>
            <w:vMerge w:val="restart"/>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32分</w:t>
            </w:r>
          </w:p>
        </w:tc>
        <w:tc>
          <w:tcPr>
            <w:tcW w:w="6492"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根据响应文件响应程度酌情评分。优得10-16分，良得5-9分，差得1-4分。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vMerge w:val="continue"/>
            <w:noWrap w:val="0"/>
            <w:vAlign w:val="center"/>
          </w:tcPr>
          <w:p>
            <w:pPr>
              <w:spacing w:line="460" w:lineRule="exact"/>
              <w:jc w:val="center"/>
              <w:rPr>
                <w:rFonts w:hint="eastAsia" w:ascii="新宋体" w:hAnsi="新宋体" w:eastAsia="新宋体" w:cs="新宋体"/>
                <w:sz w:val="22"/>
                <w:szCs w:val="22"/>
              </w:rPr>
            </w:pPr>
          </w:p>
        </w:tc>
        <w:tc>
          <w:tcPr>
            <w:tcW w:w="1334" w:type="dxa"/>
            <w:vMerge w:val="continue"/>
            <w:noWrap w:val="0"/>
            <w:vAlign w:val="center"/>
          </w:tcPr>
          <w:p>
            <w:pPr>
              <w:spacing w:line="460" w:lineRule="exact"/>
              <w:rPr>
                <w:rFonts w:hint="eastAsia" w:ascii="新宋体" w:hAnsi="新宋体" w:eastAsia="新宋体" w:cs="新宋体"/>
                <w:sz w:val="22"/>
                <w:szCs w:val="22"/>
              </w:rPr>
            </w:pPr>
          </w:p>
        </w:tc>
        <w:tc>
          <w:tcPr>
            <w:tcW w:w="724" w:type="dxa"/>
            <w:vMerge w:val="continue"/>
            <w:noWrap w:val="0"/>
            <w:vAlign w:val="center"/>
          </w:tcPr>
          <w:p>
            <w:pPr>
              <w:spacing w:line="460" w:lineRule="exact"/>
              <w:rPr>
                <w:rFonts w:ascii="新宋体" w:hAnsi="新宋体" w:eastAsia="新宋体" w:cs="新宋体"/>
                <w:sz w:val="22"/>
                <w:szCs w:val="22"/>
              </w:rPr>
            </w:pPr>
          </w:p>
        </w:tc>
        <w:tc>
          <w:tcPr>
            <w:tcW w:w="6492"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根据供应商案总体设计、实施方案等，详细阐述实施方案的体系架构、功能模块、实现思路和关键技术，以及对功能设计和实施计划的建议。优得10-16分，良得5-9分，差得1-4分。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noWrap w:val="0"/>
            <w:vAlign w:val="center"/>
          </w:tcPr>
          <w:p>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2</w:t>
            </w:r>
          </w:p>
        </w:tc>
        <w:tc>
          <w:tcPr>
            <w:tcW w:w="133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 xml:space="preserve"> 供应商基本情况</w:t>
            </w:r>
          </w:p>
        </w:tc>
        <w:tc>
          <w:tcPr>
            <w:tcW w:w="72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11分</w:t>
            </w:r>
          </w:p>
        </w:tc>
        <w:tc>
          <w:tcPr>
            <w:tcW w:w="6492"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1）具有源代码备份漏洞利用工具相关软件著作权证书、源代码安全审计检测系统相关软件著作权证书、移动安全检测相关系统著作权证书、验证码安全加固认证相关系统著作权证书、网站安全扫描工具相关软件著作权证书每类证书1分，共计5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2）具有信息安全漏洞共享平台漏洞证明证书每个得1分，共得5分；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3）具有ISO9001质量体系认证得1分；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noWrap w:val="0"/>
            <w:vAlign w:val="center"/>
          </w:tcPr>
          <w:p>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3</w:t>
            </w:r>
          </w:p>
        </w:tc>
        <w:tc>
          <w:tcPr>
            <w:tcW w:w="133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业绩</w:t>
            </w:r>
          </w:p>
        </w:tc>
        <w:tc>
          <w:tcPr>
            <w:tcW w:w="72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5分</w:t>
            </w:r>
          </w:p>
        </w:tc>
        <w:tc>
          <w:tcPr>
            <w:tcW w:w="6492"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具有信息系统等级保护测评案例合同，每有一份1分，最高5分。合同复印件盖章为依据。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noWrap w:val="0"/>
            <w:vAlign w:val="center"/>
          </w:tcPr>
          <w:p>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4</w:t>
            </w:r>
          </w:p>
        </w:tc>
        <w:tc>
          <w:tcPr>
            <w:tcW w:w="1334" w:type="dxa"/>
            <w:noWrap w:val="0"/>
            <w:vAlign w:val="center"/>
          </w:tcPr>
          <w:p>
            <w:pPr>
              <w:spacing w:line="460" w:lineRule="exact"/>
              <w:rPr>
                <w:rFonts w:ascii="新宋体" w:hAnsi="新宋体" w:eastAsia="新宋体" w:cs="新宋体"/>
                <w:sz w:val="22"/>
                <w:szCs w:val="22"/>
              </w:rPr>
            </w:pPr>
            <w:r>
              <w:rPr>
                <w:rFonts w:hint="eastAsia" w:ascii="新宋体" w:hAnsi="新宋体" w:eastAsia="新宋体" w:cs="新宋体"/>
                <w:sz w:val="22"/>
                <w:szCs w:val="22"/>
              </w:rPr>
              <w:t>履行能力</w:t>
            </w:r>
          </w:p>
        </w:tc>
        <w:tc>
          <w:tcPr>
            <w:tcW w:w="72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17分</w:t>
            </w:r>
          </w:p>
        </w:tc>
        <w:tc>
          <w:tcPr>
            <w:tcW w:w="6492" w:type="dxa"/>
            <w:noWrap w:val="0"/>
            <w:vAlign w:val="center"/>
          </w:tcPr>
          <w:p>
            <w:pPr>
              <w:spacing w:line="460" w:lineRule="exact"/>
              <w:rPr>
                <w:rFonts w:ascii="新宋体" w:hAnsi="新宋体" w:eastAsia="新宋体" w:cs="新宋体"/>
                <w:sz w:val="22"/>
                <w:szCs w:val="22"/>
              </w:rPr>
            </w:pPr>
            <w:r>
              <w:rPr>
                <w:rFonts w:hint="eastAsia" w:ascii="新宋体" w:hAnsi="新宋体" w:eastAsia="新宋体" w:cs="新宋体"/>
                <w:sz w:val="22"/>
                <w:szCs w:val="22"/>
              </w:rPr>
              <w:t>1) 供应商人员具有高级测评师得3分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2) 供应商人员具有中级测评师证书，每提供一个得1分，最多3分。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3）供应商人员具有初级测评师证书，每提供一个得1分，最多2分。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4) 供应商人员具有Oracle OCP数据库认证专家得3分。</w:t>
            </w:r>
          </w:p>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5) 项目负责人（固定委派一人担任）具有：高级测评师证书、国家重要信息系统保护人员培训证书（CIIPT）、信息安全管理系统审计认证（DNV）、信息安全保障人员认证证书(CISAW)、渗透测试认证证书（NSCP)、商用密码应用安全性评估人员测评能力证书，每具有一个得1分，最多6分。（非固定委派的项目负责人所持有证书均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noWrap w:val="0"/>
            <w:vAlign w:val="center"/>
          </w:tcPr>
          <w:p>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5</w:t>
            </w:r>
          </w:p>
        </w:tc>
        <w:tc>
          <w:tcPr>
            <w:tcW w:w="133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售后服务和响应能力</w:t>
            </w:r>
          </w:p>
        </w:tc>
        <w:tc>
          <w:tcPr>
            <w:tcW w:w="724"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5分</w:t>
            </w:r>
          </w:p>
        </w:tc>
        <w:tc>
          <w:tcPr>
            <w:tcW w:w="6492" w:type="dxa"/>
            <w:noWrap w:val="0"/>
            <w:vAlign w:val="center"/>
          </w:tcPr>
          <w:p>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根据售后服务和响应能力内容综合能力给分（0-5分）。</w:t>
            </w:r>
          </w:p>
        </w:tc>
      </w:tr>
    </w:tbl>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（二）商务（报价）分的评定（</w:t>
      </w:r>
      <w:r>
        <w:rPr>
          <w:rFonts w:hint="eastAsia" w:asciiTheme="minorEastAsia" w:hAnsiTheme="minorEastAsia"/>
          <w:sz w:val="24"/>
          <w:szCs w:val="24"/>
          <w:lang w:val="en-US" w:eastAsia="zh-CN"/>
        </w:rPr>
        <w:t>3</w:t>
      </w:r>
      <w:r>
        <w:rPr>
          <w:rFonts w:hint="eastAsia" w:asciiTheme="minorEastAsia" w:hAnsiTheme="minorEastAsia"/>
          <w:sz w:val="24"/>
          <w:szCs w:val="24"/>
        </w:rPr>
        <w:t>0分）（权值</w:t>
      </w:r>
      <w:r>
        <w:rPr>
          <w:rFonts w:hint="eastAsia" w:asciiTheme="minorEastAsia" w:hAnsiTheme="minorEastAsia"/>
          <w:sz w:val="24"/>
          <w:szCs w:val="24"/>
          <w:lang w:val="en-US" w:eastAsia="zh-CN"/>
        </w:rPr>
        <w:t>3</w:t>
      </w:r>
      <w:r>
        <w:rPr>
          <w:rFonts w:hint="eastAsia" w:asciiTheme="minorEastAsia" w:hAnsiTheme="minorEastAsia"/>
          <w:sz w:val="24"/>
          <w:szCs w:val="24"/>
        </w:rPr>
        <w:t>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满足招标文件要求且投标报价面值最低的投标报价为评标基准价，其余投标人投标报价与该基准价对比，计算出商务报价评分值（保留小数2位）：</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（1）有效投标人的投标报价等于评标基准价时其报价分为满分</w:t>
      </w:r>
      <w:r>
        <w:rPr>
          <w:rFonts w:hint="eastAsia" w:asciiTheme="minorEastAsia" w:hAnsiTheme="minorEastAsia"/>
          <w:sz w:val="24"/>
          <w:szCs w:val="24"/>
          <w:lang w:val="en-US" w:eastAsia="zh-CN"/>
        </w:rPr>
        <w:t>3</w:t>
      </w:r>
      <w:r>
        <w:rPr>
          <w:rFonts w:hint="eastAsia" w:asciiTheme="minorEastAsia" w:hAnsiTheme="minorEastAsia"/>
          <w:sz w:val="24"/>
          <w:szCs w:val="24"/>
        </w:rPr>
        <w:t>0分；</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（2）其他投标人的价格分按以下公式计算：</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投标报价得分=（评分基准价/投标人投标报价）× 价格权值 ×100（保留小数2位）</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（4）投标人所报总价不得超过预算金额，否则当无效标处理。</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（三）综合得分（100分）（权值100%）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p>
      <w:pPr>
        <w:widowControl/>
        <w:jc w:val="left"/>
      </w:pPr>
      <w:r>
        <w:br w:type="page"/>
      </w:r>
    </w:p>
    <w:p>
      <w:pPr>
        <w:spacing w:line="400" w:lineRule="exact"/>
        <w:jc w:val="left"/>
        <w:rPr>
          <w:rFonts w:ascii="宋体" w:hAnsi="宋体" w:cs="Courier New"/>
          <w:bCs/>
          <w:sz w:val="30"/>
          <w:szCs w:val="30"/>
        </w:rPr>
      </w:pPr>
      <w:r>
        <w:rPr>
          <w:rFonts w:hint="eastAsia" w:ascii="宋体" w:hAnsi="宋体" w:cs="Courier New"/>
          <w:bCs/>
          <w:sz w:val="28"/>
          <w:szCs w:val="28"/>
        </w:rPr>
        <w:t>附件一</w:t>
      </w:r>
      <w:r>
        <w:rPr>
          <w:rFonts w:hint="eastAsia" w:ascii="宋体" w:hAnsi="宋体" w:cs="Courier New"/>
          <w:bCs/>
          <w:sz w:val="30"/>
          <w:szCs w:val="30"/>
        </w:rPr>
        <w:t>：</w:t>
      </w:r>
    </w:p>
    <w:p>
      <w:pPr>
        <w:spacing w:line="400" w:lineRule="exact"/>
        <w:jc w:val="center"/>
        <w:rPr>
          <w:rFonts w:ascii="宋体" w:hAnsi="宋体" w:cs="Courier New"/>
          <w:b/>
          <w:bCs/>
          <w:sz w:val="30"/>
          <w:szCs w:val="30"/>
        </w:rPr>
      </w:pPr>
    </w:p>
    <w:p>
      <w:pPr>
        <w:spacing w:line="400" w:lineRule="exact"/>
        <w:jc w:val="center"/>
        <w:rPr>
          <w:rFonts w:ascii="宋体" w:hAnsi="宋体" w:cs="Courier New"/>
          <w:b/>
          <w:bCs/>
          <w:sz w:val="44"/>
          <w:szCs w:val="44"/>
        </w:rPr>
      </w:pPr>
      <w:r>
        <w:rPr>
          <w:rFonts w:hint="eastAsia" w:ascii="宋体" w:hAnsi="宋体" w:cs="Courier New"/>
          <w:b/>
          <w:bCs/>
          <w:sz w:val="44"/>
          <w:szCs w:val="44"/>
        </w:rPr>
        <w:t>投标报价单</w:t>
      </w:r>
    </w:p>
    <w:p>
      <w:pPr>
        <w:spacing w:line="380" w:lineRule="exact"/>
        <w:jc w:val="center"/>
        <w:rPr>
          <w:rFonts w:ascii="宋体" w:hAnsi="宋体" w:cs="Courier New"/>
          <w:b/>
          <w:bCs/>
          <w:sz w:val="28"/>
        </w:rPr>
      </w:pPr>
    </w:p>
    <w:p>
      <w:pPr>
        <w:spacing w:line="460" w:lineRule="exact"/>
        <w:rPr>
          <w:rFonts w:ascii="宋体" w:hAnsi="宋体"/>
          <w:b/>
          <w:bCs/>
          <w:sz w:val="28"/>
          <w:szCs w:val="28"/>
        </w:rPr>
      </w:pPr>
      <w:r>
        <w:rPr>
          <w:rFonts w:hint="eastAsia" w:ascii="宋体" w:hAnsi="宋体" w:cs="Arial"/>
          <w:sz w:val="28"/>
          <w:szCs w:val="28"/>
        </w:rPr>
        <w:t>项目名称</w:t>
      </w:r>
      <w:r>
        <w:rPr>
          <w:rFonts w:ascii="宋体" w:hAnsi="宋体" w:cs="Arial"/>
          <w:sz w:val="28"/>
          <w:szCs w:val="28"/>
        </w:rPr>
        <w:t xml:space="preserve">：   </w:t>
      </w:r>
      <w:r>
        <w:rPr>
          <w:rFonts w:ascii="宋体" w:hAnsi="宋体" w:cs="Arial"/>
          <w:bCs/>
          <w:sz w:val="28"/>
          <w:szCs w:val="28"/>
        </w:rPr>
        <w:t xml:space="preserve">        </w:t>
      </w:r>
      <w:r>
        <w:rPr>
          <w:rFonts w:hint="eastAsia" w:ascii="宋体" w:hAnsi="宋体" w:cs="Arial"/>
          <w:sz w:val="28"/>
          <w:szCs w:val="28"/>
        </w:rPr>
        <w:t xml:space="preserve">                  </w:t>
      </w:r>
      <w:r>
        <w:rPr>
          <w:rFonts w:ascii="宋体" w:hAnsi="宋体" w:cs="Arial"/>
          <w:sz w:val="28"/>
          <w:szCs w:val="28"/>
        </w:rPr>
        <w:t>（价格单位：人民币元）</w:t>
      </w:r>
    </w:p>
    <w:tbl>
      <w:tblPr>
        <w:tblStyle w:val="7"/>
        <w:tblW w:w="88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7"/>
        <w:gridCol w:w="3218"/>
        <w:gridCol w:w="208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757"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序号</w:t>
            </w:r>
          </w:p>
        </w:tc>
        <w:tc>
          <w:tcPr>
            <w:tcW w:w="3218"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项目内容</w:t>
            </w:r>
          </w:p>
        </w:tc>
        <w:tc>
          <w:tcPr>
            <w:tcW w:w="2087"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费用（元）</w:t>
            </w:r>
          </w:p>
        </w:tc>
        <w:tc>
          <w:tcPr>
            <w:tcW w:w="2835"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1</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2</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3</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4</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5</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6</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7</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8</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6062" w:type="dxa"/>
            <w:gridSpan w:val="3"/>
            <w:vAlign w:val="center"/>
          </w:tcPr>
          <w:p>
            <w:pPr>
              <w:spacing w:line="380" w:lineRule="exact"/>
              <w:jc w:val="center"/>
              <w:rPr>
                <w:rFonts w:ascii="宋体" w:hAnsi="宋体" w:cs="hakuyoxingshu7000"/>
                <w:b/>
                <w:bCs/>
                <w:szCs w:val="21"/>
              </w:rPr>
            </w:pPr>
            <w:r>
              <w:rPr>
                <w:rFonts w:hint="eastAsia" w:ascii="宋体" w:hAnsi="宋体" w:cs="hakuyoxingshu7000"/>
                <w:b/>
                <w:bCs/>
                <w:szCs w:val="21"/>
              </w:rPr>
              <w:t>合计投标报价（大写）               元人民币</w:t>
            </w:r>
          </w:p>
        </w:tc>
        <w:tc>
          <w:tcPr>
            <w:tcW w:w="2835" w:type="dxa"/>
            <w:vAlign w:val="center"/>
          </w:tcPr>
          <w:p>
            <w:pPr>
              <w:spacing w:line="380" w:lineRule="exact"/>
              <w:rPr>
                <w:rFonts w:ascii="宋体" w:hAnsi="宋体" w:cs="hakuyoxingshu7000"/>
                <w:b/>
                <w:bCs/>
                <w:szCs w:val="21"/>
              </w:rPr>
            </w:pPr>
            <w:r>
              <w:rPr>
                <w:rFonts w:hint="eastAsia" w:ascii="宋体" w:hAnsi="宋体" w:cs="hakuyoxingshu7000"/>
                <w:b/>
                <w:bCs/>
                <w:szCs w:val="21"/>
              </w:rPr>
              <w:t>（小写）</w:t>
            </w:r>
          </w:p>
        </w:tc>
      </w:tr>
    </w:tbl>
    <w:p>
      <w:pPr>
        <w:rPr>
          <w:rFonts w:ascii="宋体" w:hAnsi="宋体" w:cs="Arial"/>
          <w:b/>
          <w:bCs/>
          <w:sz w:val="28"/>
          <w:szCs w:val="28"/>
        </w:rPr>
      </w:pPr>
      <w:r>
        <w:rPr>
          <w:rFonts w:hint="eastAsia" w:ascii="新宋体" w:hAnsi="新宋体" w:eastAsia="新宋体"/>
          <w:b/>
          <w:sz w:val="28"/>
          <w:szCs w:val="28"/>
        </w:rPr>
        <w:t>说明： 投标报价是一次性报价包括所报产品本身价格、各项税金、安装运输、调试培训等完成合同所需的一切本身和不可或缺的所有工作开支、政策性文件规定及合同包含的所有风险、责任等各项全部费用，投标人应根据上述因素自行考虑含入投标报价。</w:t>
      </w:r>
    </w:p>
    <w:p>
      <w:pPr>
        <w:rPr>
          <w:rFonts w:ascii="宋体" w:hAnsi="宋体" w:cs="Arial"/>
          <w:b/>
          <w:bCs/>
          <w:sz w:val="28"/>
          <w:szCs w:val="28"/>
        </w:rPr>
      </w:pPr>
    </w:p>
    <w:p>
      <w:pPr>
        <w:spacing w:line="440" w:lineRule="exact"/>
        <w:ind w:right="-11" w:firstLine="280" w:firstLineChars="100"/>
        <w:rPr>
          <w:rFonts w:ascii="宋体" w:hAnsi="宋体" w:cs="Arial"/>
          <w:sz w:val="28"/>
          <w:szCs w:val="28"/>
        </w:rPr>
      </w:pPr>
      <w:r>
        <w:rPr>
          <w:rFonts w:hint="eastAsia" w:ascii="宋体" w:hAnsi="宋体" w:cs="Arial"/>
          <w:sz w:val="28"/>
          <w:szCs w:val="28"/>
        </w:rPr>
        <w:t>投标商全称</w:t>
      </w:r>
      <w:r>
        <w:rPr>
          <w:rFonts w:ascii="宋体" w:hAnsi="宋体" w:cs="Arial"/>
          <w:sz w:val="28"/>
          <w:szCs w:val="28"/>
        </w:rPr>
        <w:t>（公章）：</w:t>
      </w:r>
      <w:r>
        <w:rPr>
          <w:rFonts w:hint="eastAsia" w:ascii="宋体" w:hAnsi="宋体" w:cs="Arial"/>
          <w:sz w:val="28"/>
          <w:szCs w:val="28"/>
          <w:u w:val="single"/>
        </w:rPr>
        <w:t xml:space="preserve">                    </w:t>
      </w:r>
    </w:p>
    <w:p>
      <w:pPr>
        <w:rPr>
          <w:rFonts w:ascii="宋体" w:hAnsi="宋体"/>
          <w:sz w:val="28"/>
          <w:szCs w:val="28"/>
        </w:rPr>
      </w:pPr>
      <w:r>
        <w:rPr>
          <w:rFonts w:hint="eastAsia" w:ascii="宋体" w:hAnsi="宋体"/>
          <w:sz w:val="28"/>
          <w:szCs w:val="28"/>
        </w:rPr>
        <w:t xml:space="preserve">  </w:t>
      </w:r>
      <w:r>
        <w:rPr>
          <w:rFonts w:ascii="宋体" w:hAnsi="宋体"/>
          <w:sz w:val="28"/>
          <w:szCs w:val="28"/>
        </w:rPr>
        <w:t>日期：</w:t>
      </w:r>
      <w:r>
        <w:rPr>
          <w:rFonts w:hint="eastAsia" w:ascii="宋体" w:hAnsi="宋体"/>
          <w:sz w:val="28"/>
          <w:szCs w:val="28"/>
          <w:u w:val="single"/>
        </w:rPr>
        <w:t xml:space="preserve">               </w:t>
      </w:r>
    </w:p>
    <w:p>
      <w:pPr>
        <w:rPr>
          <w:sz w:val="28"/>
          <w:szCs w:val="28"/>
        </w:rPr>
      </w:pPr>
    </w:p>
    <w:p>
      <w:pPr>
        <w:widowControl/>
        <w:jc w:val="left"/>
      </w:pPr>
    </w:p>
    <w:p>
      <w:pPr>
        <w:widowControl/>
        <w:jc w:val="left"/>
      </w:pPr>
    </w:p>
    <w:p>
      <w:pPr>
        <w:widowControl/>
        <w:jc w:val="left"/>
      </w:pPr>
    </w:p>
    <w:p>
      <w:pPr>
        <w:widowControl/>
        <w:jc w:val="left"/>
        <w:rPr>
          <w:sz w:val="32"/>
          <w:szCs w:val="32"/>
        </w:rPr>
      </w:pPr>
      <w:r>
        <w:rPr>
          <w:rFonts w:hint="eastAsia"/>
          <w:sz w:val="32"/>
          <w:szCs w:val="32"/>
        </w:rPr>
        <w:t>附件二：</w:t>
      </w:r>
    </w:p>
    <w:p>
      <w:pPr>
        <w:widowControl/>
        <w:jc w:val="center"/>
        <w:rPr>
          <w:b/>
          <w:sz w:val="36"/>
          <w:szCs w:val="36"/>
        </w:rPr>
      </w:pPr>
      <w:r>
        <w:rPr>
          <w:rFonts w:hint="eastAsia"/>
          <w:b/>
          <w:sz w:val="36"/>
          <w:szCs w:val="36"/>
        </w:rPr>
        <w:t>法定代表人授权书</w:t>
      </w:r>
    </w:p>
    <w:p>
      <w:pPr>
        <w:spacing w:line="360" w:lineRule="auto"/>
        <w:rPr>
          <w:rFonts w:ascii="新宋体" w:hAnsi="新宋体" w:eastAsia="新宋体"/>
          <w:sz w:val="24"/>
          <w:szCs w:val="24"/>
        </w:rPr>
      </w:pPr>
      <w:r>
        <w:rPr>
          <w:rFonts w:hint="eastAsia" w:ascii="新宋体" w:hAnsi="新宋体" w:eastAsia="新宋体"/>
          <w:sz w:val="24"/>
          <w:szCs w:val="24"/>
        </w:rPr>
        <w:t>温州市第七人民医院：</w:t>
      </w:r>
    </w:p>
    <w:p>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u w:val="single"/>
        </w:rPr>
        <w:t xml:space="preserve">             </w:t>
      </w:r>
      <w:r>
        <w:rPr>
          <w:rFonts w:hint="eastAsia" w:ascii="新宋体" w:hAnsi="新宋体" w:eastAsia="新宋体"/>
          <w:sz w:val="24"/>
          <w:szCs w:val="24"/>
        </w:rPr>
        <w:t>（投标人全称）法定代表人</w:t>
      </w:r>
      <w:r>
        <w:rPr>
          <w:rFonts w:hint="eastAsia" w:ascii="新宋体" w:hAnsi="新宋体" w:eastAsia="新宋体"/>
          <w:sz w:val="24"/>
          <w:szCs w:val="24"/>
          <w:u w:val="single"/>
        </w:rPr>
        <w:t xml:space="preserve">          （</w:t>
      </w:r>
      <w:r>
        <w:rPr>
          <w:rFonts w:hint="eastAsia" w:ascii="新宋体" w:hAnsi="新宋体" w:eastAsia="新宋体"/>
          <w:sz w:val="24"/>
          <w:szCs w:val="24"/>
        </w:rPr>
        <w:t>法定代表人姓名），身份证号：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 xml:space="preserve"> 授权</w:t>
      </w:r>
      <w:r>
        <w:rPr>
          <w:rFonts w:hint="eastAsia" w:ascii="新宋体" w:hAnsi="新宋体" w:eastAsia="新宋体"/>
          <w:sz w:val="24"/>
          <w:szCs w:val="24"/>
          <w:u w:val="single"/>
        </w:rPr>
        <w:t xml:space="preserve">         </w:t>
      </w:r>
      <w:r>
        <w:rPr>
          <w:rFonts w:hint="eastAsia" w:ascii="新宋体" w:hAnsi="新宋体" w:eastAsia="新宋体"/>
          <w:sz w:val="24"/>
          <w:szCs w:val="24"/>
        </w:rPr>
        <w:t>（全权代表姓名），身份证号：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为全权代表，参加贵单位组织的（</w:t>
      </w:r>
      <w:r>
        <w:rPr>
          <w:rFonts w:hint="eastAsia" w:ascii="新宋体" w:hAnsi="新宋体" w:eastAsia="新宋体"/>
          <w:sz w:val="24"/>
          <w:szCs w:val="24"/>
          <w:u w:val="single"/>
        </w:rPr>
        <w:t xml:space="preserve">                    </w:t>
      </w:r>
      <w:r>
        <w:rPr>
          <w:rFonts w:hint="eastAsia" w:ascii="新宋体" w:hAnsi="新宋体" w:eastAsia="新宋体"/>
          <w:sz w:val="24"/>
          <w:szCs w:val="24"/>
        </w:rPr>
        <w:t>项目名称）的比选采购活动，全权代表我方处理比选采购活动中的一切事宜。</w:t>
      </w:r>
    </w:p>
    <w:p>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rPr>
        <w:t xml:space="preserve"> </w:t>
      </w:r>
    </w:p>
    <w:p>
      <w:pPr>
        <w:spacing w:line="360" w:lineRule="auto"/>
        <w:rPr>
          <w:rFonts w:ascii="新宋体" w:hAnsi="新宋体" w:eastAsia="新宋体"/>
          <w:sz w:val="24"/>
          <w:szCs w:val="24"/>
        </w:rPr>
      </w:pPr>
      <w:r>
        <w:rPr>
          <w:rFonts w:hint="eastAsia" w:ascii="新宋体" w:hAnsi="新宋体" w:eastAsia="新宋体"/>
          <w:sz w:val="24"/>
          <w:szCs w:val="24"/>
        </w:rPr>
        <w:t>法定代表人(签字或盖章)：</w:t>
      </w:r>
    </w:p>
    <w:p>
      <w:pPr>
        <w:spacing w:line="360" w:lineRule="auto"/>
        <w:rPr>
          <w:rFonts w:ascii="新宋体" w:hAnsi="新宋体" w:eastAsia="新宋体"/>
          <w:sz w:val="24"/>
          <w:szCs w:val="24"/>
        </w:rPr>
      </w:pPr>
      <w:r>
        <w:rPr>
          <w:rFonts w:hint="eastAsia" w:ascii="新宋体" w:hAnsi="新宋体" w:eastAsia="新宋体"/>
          <w:sz w:val="24"/>
          <w:szCs w:val="24"/>
        </w:rPr>
        <w:t>投标人全称（公章）：</w:t>
      </w:r>
    </w:p>
    <w:p>
      <w:pPr>
        <w:widowControl/>
        <w:spacing w:line="360" w:lineRule="auto"/>
        <w:jc w:val="left"/>
        <w:rPr>
          <w:sz w:val="24"/>
          <w:szCs w:val="24"/>
        </w:rPr>
      </w:pPr>
      <w:r>
        <w:rPr>
          <w:rFonts w:hint="eastAsia" w:ascii="新宋体" w:hAnsi="新宋体" w:eastAsia="新宋体"/>
          <w:sz w:val="24"/>
          <w:szCs w:val="24"/>
        </w:rPr>
        <w:t>日   期：</w:t>
      </w:r>
    </w:p>
    <w:p>
      <w:pPr>
        <w:rPr>
          <w:rFonts w:ascii="新宋体" w:hAnsi="新宋体" w:eastAsia="新宋体"/>
          <w:sz w:val="22"/>
        </w:rPr>
      </w:pPr>
    </w:p>
    <w:p>
      <w:pPr>
        <w:rPr>
          <w:rFonts w:ascii="新宋体" w:hAnsi="新宋体" w:eastAsia="新宋体"/>
          <w:sz w:val="24"/>
          <w:szCs w:val="24"/>
        </w:rPr>
      </w:pPr>
      <w:r>
        <w:rPr>
          <w:rFonts w:hint="eastAsia" w:ascii="新宋体" w:hAnsi="新宋体" w:eastAsia="新宋体"/>
          <w:sz w:val="24"/>
          <w:szCs w:val="24"/>
        </w:rPr>
        <w:t>法定代表人身份证复印件或扫描件（正反面）：</w:t>
      </w: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sz w:val="24"/>
          <w:szCs w:val="24"/>
        </w:rPr>
      </w:pPr>
      <w:r>
        <w:rPr>
          <w:rFonts w:hint="eastAsia" w:ascii="新宋体" w:hAnsi="新宋体" w:eastAsia="新宋体"/>
          <w:sz w:val="24"/>
          <w:szCs w:val="24"/>
        </w:rPr>
        <w:t>授权代表身份证复印件或扫描件（正反面）：</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rPr>
          <w:sz w:val="32"/>
          <w:szCs w:val="32"/>
        </w:rPr>
      </w:pPr>
      <w:r>
        <w:rPr>
          <w:rFonts w:hint="eastAsia"/>
          <w:sz w:val="32"/>
          <w:szCs w:val="32"/>
        </w:rPr>
        <w:t>附件三：</w:t>
      </w:r>
    </w:p>
    <w:p>
      <w:pPr>
        <w:jc w:val="center"/>
        <w:rPr>
          <w:b/>
          <w:sz w:val="44"/>
          <w:szCs w:val="44"/>
        </w:rPr>
      </w:pPr>
      <w:r>
        <w:rPr>
          <w:rFonts w:hint="eastAsia"/>
          <w:b/>
          <w:sz w:val="44"/>
          <w:szCs w:val="44"/>
        </w:rPr>
        <w:t>投标承诺函</w:t>
      </w:r>
    </w:p>
    <w:p>
      <w:pPr>
        <w:rPr>
          <w:sz w:val="28"/>
          <w:szCs w:val="28"/>
        </w:rPr>
      </w:pPr>
    </w:p>
    <w:p>
      <w:pPr>
        <w:rPr>
          <w:sz w:val="28"/>
          <w:szCs w:val="28"/>
        </w:rPr>
      </w:pPr>
      <w:r>
        <w:rPr>
          <w:rFonts w:hint="eastAsia"/>
          <w:sz w:val="28"/>
          <w:szCs w:val="28"/>
        </w:rPr>
        <w:t>项目名称：</w:t>
      </w:r>
      <w:r>
        <w:rPr>
          <w:rFonts w:hint="eastAsia"/>
          <w:sz w:val="28"/>
          <w:szCs w:val="28"/>
          <w:u w:val="single"/>
        </w:rPr>
        <w:t xml:space="preserve">                     </w:t>
      </w:r>
    </w:p>
    <w:p>
      <w:pPr>
        <w:rPr>
          <w:sz w:val="28"/>
          <w:szCs w:val="28"/>
        </w:rPr>
      </w:pPr>
      <w:r>
        <w:rPr>
          <w:rFonts w:hint="eastAsia"/>
          <w:sz w:val="28"/>
          <w:szCs w:val="28"/>
        </w:rPr>
        <w:t>日期：</w:t>
      </w:r>
      <w:r>
        <w:rPr>
          <w:rFonts w:hint="eastAsia"/>
          <w:sz w:val="28"/>
          <w:szCs w:val="28"/>
          <w:u w:val="single"/>
        </w:rPr>
        <w:t xml:space="preserve">                    </w:t>
      </w:r>
    </w:p>
    <w:p>
      <w:pPr>
        <w:rPr>
          <w:sz w:val="28"/>
          <w:szCs w:val="28"/>
        </w:rPr>
      </w:pPr>
      <w:r>
        <w:rPr>
          <w:rFonts w:hint="eastAsia"/>
          <w:sz w:val="28"/>
          <w:szCs w:val="28"/>
        </w:rPr>
        <w:t>致：温州市第七人民医院</w:t>
      </w:r>
    </w:p>
    <w:p>
      <w:pPr>
        <w:rPr>
          <w:sz w:val="28"/>
          <w:szCs w:val="28"/>
        </w:rPr>
      </w:pPr>
      <w:r>
        <w:rPr>
          <w:rFonts w:hint="eastAsia"/>
          <w:sz w:val="28"/>
          <w:szCs w:val="28"/>
        </w:rPr>
        <w:tab/>
      </w:r>
      <w:r>
        <w:rPr>
          <w:rFonts w:hint="eastAsia"/>
          <w:sz w:val="28"/>
          <w:szCs w:val="28"/>
        </w:rPr>
        <w:t xml:space="preserve">  </w:t>
      </w:r>
      <w:r>
        <w:rPr>
          <w:rFonts w:hint="eastAsia"/>
          <w:sz w:val="28"/>
          <w:szCs w:val="28"/>
          <w:u w:val="single"/>
        </w:rPr>
        <w:t xml:space="preserve">             </w:t>
      </w:r>
      <w:r>
        <w:rPr>
          <w:rFonts w:hint="eastAsia"/>
          <w:sz w:val="28"/>
          <w:szCs w:val="28"/>
        </w:rPr>
        <w:t>公司很荣幸能参与上述项目的投标。若我单位中标，在此作如下承诺：</w:t>
      </w:r>
    </w:p>
    <w:p>
      <w:pPr>
        <w:rPr>
          <w:bCs/>
          <w:sz w:val="28"/>
          <w:szCs w:val="28"/>
        </w:rPr>
      </w:pPr>
      <w:r>
        <w:rPr>
          <w:rFonts w:hint="eastAsia"/>
          <w:sz w:val="28"/>
          <w:szCs w:val="28"/>
        </w:rPr>
        <w:tab/>
      </w:r>
      <w:r>
        <w:rPr>
          <w:rFonts w:hint="eastAsia"/>
          <w:sz w:val="28"/>
          <w:szCs w:val="28"/>
        </w:rPr>
        <w:t>1、我方已详细审核全部招标文件，承诺</w:t>
      </w:r>
      <w:r>
        <w:rPr>
          <w:bCs/>
          <w:sz w:val="28"/>
          <w:szCs w:val="28"/>
        </w:rPr>
        <w:t>所选投标产品的技术配置及技术性能相当于或高于招标文件要求，并满足采购需求</w:t>
      </w:r>
      <w:r>
        <w:rPr>
          <w:rFonts w:hint="eastAsia"/>
          <w:bCs/>
          <w:sz w:val="28"/>
          <w:szCs w:val="28"/>
        </w:rPr>
        <w:t>，否则将承担由此引起的一切后果和相应的法律责任。</w:t>
      </w:r>
    </w:p>
    <w:p>
      <w:pPr>
        <w:rPr>
          <w:bCs/>
          <w:sz w:val="28"/>
          <w:szCs w:val="28"/>
        </w:rPr>
      </w:pPr>
      <w:r>
        <w:rPr>
          <w:rFonts w:hint="eastAsia"/>
          <w:bCs/>
          <w:sz w:val="28"/>
          <w:szCs w:val="28"/>
        </w:rPr>
        <w:tab/>
      </w:r>
      <w:r>
        <w:rPr>
          <w:rFonts w:hint="eastAsia"/>
          <w:bCs/>
          <w:sz w:val="28"/>
          <w:szCs w:val="28"/>
        </w:rPr>
        <w:t>2、若中标，我方将按照院方相关规定和要求签订合同，并且严格履行合同义务。</w:t>
      </w:r>
    </w:p>
    <w:p>
      <w:pPr>
        <w:rPr>
          <w:bCs/>
          <w:sz w:val="28"/>
          <w:szCs w:val="28"/>
        </w:rPr>
      </w:pPr>
      <w:r>
        <w:rPr>
          <w:rFonts w:hint="eastAsia"/>
          <w:bCs/>
          <w:sz w:val="28"/>
          <w:szCs w:val="28"/>
        </w:rPr>
        <w:tab/>
      </w:r>
      <w:r>
        <w:rPr>
          <w:rFonts w:hint="eastAsia"/>
          <w:bCs/>
          <w:sz w:val="28"/>
          <w:szCs w:val="28"/>
        </w:rPr>
        <w:t>3、我方承认此承诺函是我方投标文件的组成部分。</w:t>
      </w:r>
    </w:p>
    <w:p>
      <w:pPr>
        <w:rPr>
          <w:bCs/>
          <w:sz w:val="28"/>
          <w:szCs w:val="28"/>
        </w:rPr>
      </w:pPr>
    </w:p>
    <w:p>
      <w:pPr>
        <w:rPr>
          <w:bCs/>
          <w:sz w:val="28"/>
          <w:szCs w:val="28"/>
        </w:rPr>
      </w:pPr>
    </w:p>
    <w:p>
      <w:pPr>
        <w:rPr>
          <w:sz w:val="28"/>
          <w:szCs w:val="28"/>
          <w:u w:val="single"/>
        </w:rPr>
      </w:pPr>
      <w:r>
        <w:rPr>
          <w:rFonts w:hint="eastAsia"/>
          <w:sz w:val="28"/>
          <w:szCs w:val="28"/>
        </w:rPr>
        <w:t>投标商全称（盖公章）：</w:t>
      </w:r>
      <w:r>
        <w:rPr>
          <w:rFonts w:hint="eastAsia"/>
          <w:sz w:val="28"/>
          <w:szCs w:val="28"/>
          <w:u w:val="single"/>
        </w:rPr>
        <w:t xml:space="preserve">              </w:t>
      </w:r>
    </w:p>
    <w:p>
      <w:pPr>
        <w:rPr>
          <w:rFonts w:hint="eastAsia"/>
          <w:sz w:val="24"/>
          <w:szCs w:val="24"/>
          <w:u w:val="single"/>
        </w:rPr>
      </w:pPr>
      <w:r>
        <w:rPr>
          <w:rFonts w:hint="eastAsia"/>
          <w:sz w:val="28"/>
          <w:szCs w:val="28"/>
        </w:rPr>
        <w:t>法定代表人或其委托代理人签名：</w:t>
      </w:r>
      <w:r>
        <w:rPr>
          <w:rFonts w:hint="eastAsia"/>
          <w:sz w:val="24"/>
          <w:szCs w:val="24"/>
          <w:u w:val="single"/>
        </w:rPr>
        <w:t xml:space="preserve">                </w:t>
      </w:r>
    </w:p>
    <w:p>
      <w:pPr>
        <w:rPr>
          <w:rFonts w:hint="eastAsia"/>
          <w:sz w:val="24"/>
          <w:szCs w:val="24"/>
          <w:u w:val="single"/>
        </w:rPr>
      </w:pPr>
      <w:r>
        <w:rPr>
          <w:rFonts w:hint="eastAsia"/>
          <w:sz w:val="24"/>
          <w:szCs w:val="24"/>
          <w:u w:val="single"/>
        </w:rPr>
        <w:br w:type="page"/>
      </w:r>
    </w:p>
    <w:p>
      <w:pPr>
        <w:rPr>
          <w:sz w:val="24"/>
          <w:szCs w:val="24"/>
        </w:rPr>
      </w:pPr>
      <w:r>
        <w:rPr>
          <w:rFonts w:hint="eastAsia"/>
          <w:sz w:val="30"/>
          <w:szCs w:val="30"/>
        </w:rPr>
        <w:t>附件四</w:t>
      </w:r>
      <w:r>
        <w:rPr>
          <w:rFonts w:hint="eastAsia"/>
          <w:sz w:val="24"/>
          <w:szCs w:val="24"/>
        </w:rPr>
        <w:t>：</w:t>
      </w:r>
    </w:p>
    <w:p>
      <w:pPr>
        <w:snapToGrid w:val="0"/>
        <w:spacing w:before="50" w:afterLines="50" w:line="360" w:lineRule="auto"/>
        <w:jc w:val="center"/>
        <w:rPr>
          <w:rFonts w:ascii="Times New Roman" w:hAnsi="Times New Roman"/>
          <w:b/>
          <w:sz w:val="44"/>
          <w:szCs w:val="44"/>
        </w:rPr>
      </w:pPr>
      <w:r>
        <w:rPr>
          <w:rFonts w:ascii="Times New Roman" w:hAnsi="Times New Roman"/>
          <w:b/>
          <w:sz w:val="44"/>
          <w:szCs w:val="44"/>
        </w:rPr>
        <w:t>采购要求响应表</w:t>
      </w:r>
    </w:p>
    <w:p>
      <w:pPr>
        <w:spacing w:line="360" w:lineRule="auto"/>
        <w:rPr>
          <w:rFonts w:ascii="Times New Roman" w:hAnsi="Times New Roman"/>
          <w:spacing w:val="20"/>
          <w:sz w:val="24"/>
          <w:szCs w:val="24"/>
        </w:rPr>
      </w:pPr>
      <w:r>
        <w:rPr>
          <w:rFonts w:ascii="Times New Roman" w:hAnsi="Times New Roman"/>
          <w:sz w:val="24"/>
          <w:szCs w:val="24"/>
        </w:rPr>
        <w:t>项目名称：</w:t>
      </w:r>
      <w:r>
        <w:rPr>
          <w:rFonts w:ascii="Times New Roman" w:hAnsi="Times New Roman"/>
          <w:sz w:val="24"/>
          <w:szCs w:val="24"/>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Times New Roman"/>
                <w:sz w:val="24"/>
                <w:szCs w:val="24"/>
              </w:rPr>
              <w:t>比选</w:t>
            </w:r>
            <w:r>
              <w:rPr>
                <w:rFonts w:ascii="Times New Roman" w:hAnsi="Times New Roman"/>
                <w:sz w:val="24"/>
                <w:szCs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36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w:t>
            </w:r>
          </w:p>
        </w:tc>
        <w:tc>
          <w:tcPr>
            <w:tcW w:w="35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p>
        </w:tc>
      </w:tr>
    </w:tbl>
    <w:p>
      <w:pPr>
        <w:snapToGrid w:val="0"/>
        <w:spacing w:before="50" w:after="50" w:line="360" w:lineRule="auto"/>
        <w:rPr>
          <w:rFonts w:ascii="Times New Roman" w:hAnsi="Times New Roman"/>
          <w:b/>
          <w:bCs/>
          <w:sz w:val="24"/>
          <w:szCs w:val="24"/>
        </w:rPr>
      </w:pPr>
      <w:r>
        <w:rPr>
          <w:rFonts w:ascii="Times New Roman" w:hAnsi="Times New Roman"/>
          <w:b/>
          <w:bCs/>
          <w:sz w:val="24"/>
          <w:szCs w:val="24"/>
        </w:rPr>
        <w:t>注：</w:t>
      </w:r>
    </w:p>
    <w:p>
      <w:pPr>
        <w:numPr>
          <w:ilvl w:val="1"/>
          <w:numId w:val="1"/>
        </w:numPr>
        <w:tabs>
          <w:tab w:val="left" w:pos="540"/>
        </w:tabs>
        <w:snapToGrid w:val="0"/>
        <w:spacing w:before="50" w:after="50" w:line="360" w:lineRule="auto"/>
        <w:ind w:left="540" w:hanging="540"/>
        <w:rPr>
          <w:rFonts w:ascii="Times New Roman" w:hAnsi="Times New Roman"/>
          <w:b/>
          <w:bCs/>
          <w:sz w:val="24"/>
          <w:szCs w:val="24"/>
        </w:rPr>
      </w:pPr>
      <w:r>
        <w:rPr>
          <w:rFonts w:ascii="Times New Roman" w:hAnsi="Times New Roman"/>
          <w:b/>
          <w:bCs/>
          <w:sz w:val="24"/>
          <w:szCs w:val="24"/>
        </w:rPr>
        <w:t>投标人应根据投标设备的性能指标、对照</w:t>
      </w:r>
      <w:r>
        <w:rPr>
          <w:rFonts w:hint="eastAsia" w:ascii="Times New Roman" w:hAnsi="Times New Roman"/>
          <w:b/>
          <w:bCs/>
          <w:sz w:val="24"/>
          <w:szCs w:val="24"/>
        </w:rPr>
        <w:t>比选</w:t>
      </w:r>
      <w:r>
        <w:rPr>
          <w:rFonts w:ascii="Times New Roman" w:hAnsi="Times New Roman"/>
          <w:b/>
          <w:bCs/>
          <w:sz w:val="24"/>
          <w:szCs w:val="24"/>
        </w:rPr>
        <w:t>文件要求一一对应如实填写技术响应表，在“偏离情况”栏注明“正偏离”、“负偏离”或“无偏离”。未按要求填写的，有可能作负偏离处理。</w:t>
      </w:r>
    </w:p>
    <w:p>
      <w:pPr>
        <w:snapToGrid w:val="0"/>
        <w:spacing w:before="50" w:after="50" w:line="360" w:lineRule="auto"/>
        <w:rPr>
          <w:rFonts w:ascii="Times New Roman" w:hAnsi="Times New Roman"/>
          <w:b/>
          <w:bCs/>
          <w:sz w:val="24"/>
          <w:szCs w:val="24"/>
        </w:rPr>
      </w:pPr>
    </w:p>
    <w:p>
      <w:pPr>
        <w:snapToGrid w:val="0"/>
        <w:spacing w:before="50" w:after="50" w:line="360" w:lineRule="auto"/>
        <w:rPr>
          <w:rFonts w:ascii="Times New Roman" w:hAnsi="Times New Roman"/>
          <w:b/>
          <w:bCs/>
          <w:sz w:val="24"/>
          <w:szCs w:val="24"/>
        </w:rPr>
      </w:pPr>
    </w:p>
    <w:p>
      <w:pPr>
        <w:snapToGrid w:val="0"/>
        <w:spacing w:before="50" w:afterLines="50" w:line="360" w:lineRule="auto"/>
        <w:jc w:val="left"/>
        <w:rPr>
          <w:rFonts w:ascii="Times New Roman" w:hAnsi="Times New Roman"/>
          <w:sz w:val="24"/>
          <w:szCs w:val="24"/>
        </w:rPr>
      </w:pPr>
      <w:r>
        <w:rPr>
          <w:rFonts w:ascii="Times New Roman" w:hAnsi="Times New Roman"/>
          <w:b/>
          <w:bCs/>
          <w:sz w:val="24"/>
          <w:szCs w:val="24"/>
        </w:rPr>
        <w:t>投标人签章：</w:t>
      </w:r>
      <w:r>
        <w:rPr>
          <w:rFonts w:ascii="Times New Roman" w:hAnsi="Times New Roman"/>
          <w:spacing w:val="20"/>
          <w:sz w:val="24"/>
          <w:szCs w:val="24"/>
          <w:u w:val="single"/>
        </w:rPr>
        <w:t xml:space="preserve">            </w:t>
      </w:r>
      <w:r>
        <w:rPr>
          <w:rFonts w:ascii="Times New Roman" w:hAnsi="Times New Roman"/>
          <w:spacing w:val="20"/>
          <w:sz w:val="24"/>
          <w:szCs w:val="24"/>
        </w:rPr>
        <w:t xml:space="preserve">              </w:t>
      </w:r>
      <w:r>
        <w:rPr>
          <w:rFonts w:ascii="Times New Roman" w:hAnsi="Times New Roman"/>
          <w:b/>
          <w:bCs/>
          <w:sz w:val="24"/>
          <w:szCs w:val="24"/>
        </w:rPr>
        <w:t>日 期：</w:t>
      </w:r>
      <w:r>
        <w:rPr>
          <w:rFonts w:ascii="Times New Roman" w:hAnsi="Times New Roman"/>
          <w:spacing w:val="20"/>
          <w:sz w:val="24"/>
          <w:szCs w:val="24"/>
          <w:u w:val="single"/>
        </w:rPr>
        <w:t xml:space="preserve">          </w:t>
      </w:r>
    </w:p>
    <w:p>
      <w:pPr>
        <w:rPr>
          <w:sz w:val="24"/>
          <w:szCs w:val="24"/>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5MjAyMDEyMDljYjBjY2JlMjk1MzQ2Nzg3ZWE0ZjEifQ=="/>
  </w:docVars>
  <w:rsids>
    <w:rsidRoot w:val="00A04A0F"/>
    <w:rsid w:val="00005B27"/>
    <w:rsid w:val="000161F4"/>
    <w:rsid w:val="00071478"/>
    <w:rsid w:val="000868C2"/>
    <w:rsid w:val="00087C31"/>
    <w:rsid w:val="00091CE1"/>
    <w:rsid w:val="000A13F9"/>
    <w:rsid w:val="000A5CE8"/>
    <w:rsid w:val="000B00A1"/>
    <w:rsid w:val="000B3438"/>
    <w:rsid w:val="000F179B"/>
    <w:rsid w:val="00107030"/>
    <w:rsid w:val="001157F5"/>
    <w:rsid w:val="00175B6A"/>
    <w:rsid w:val="0018548B"/>
    <w:rsid w:val="001E2BB6"/>
    <w:rsid w:val="00207306"/>
    <w:rsid w:val="00210625"/>
    <w:rsid w:val="00221AB8"/>
    <w:rsid w:val="002454B5"/>
    <w:rsid w:val="003112C3"/>
    <w:rsid w:val="003132B7"/>
    <w:rsid w:val="003344E5"/>
    <w:rsid w:val="00401ADD"/>
    <w:rsid w:val="00412C00"/>
    <w:rsid w:val="004160D0"/>
    <w:rsid w:val="0043359F"/>
    <w:rsid w:val="0044036F"/>
    <w:rsid w:val="00483E48"/>
    <w:rsid w:val="00484F6C"/>
    <w:rsid w:val="004D2233"/>
    <w:rsid w:val="0054104D"/>
    <w:rsid w:val="00545664"/>
    <w:rsid w:val="00570E4F"/>
    <w:rsid w:val="005B469D"/>
    <w:rsid w:val="005D6544"/>
    <w:rsid w:val="005E6192"/>
    <w:rsid w:val="005F7AC6"/>
    <w:rsid w:val="006962D9"/>
    <w:rsid w:val="006F4047"/>
    <w:rsid w:val="006F626D"/>
    <w:rsid w:val="006F729D"/>
    <w:rsid w:val="00734AF8"/>
    <w:rsid w:val="00776643"/>
    <w:rsid w:val="00791CDE"/>
    <w:rsid w:val="00797272"/>
    <w:rsid w:val="007A470E"/>
    <w:rsid w:val="007E5EFD"/>
    <w:rsid w:val="00810A99"/>
    <w:rsid w:val="00815DD0"/>
    <w:rsid w:val="00832DBF"/>
    <w:rsid w:val="00842665"/>
    <w:rsid w:val="008451C7"/>
    <w:rsid w:val="00855344"/>
    <w:rsid w:val="00862EBE"/>
    <w:rsid w:val="00864CF8"/>
    <w:rsid w:val="008672D6"/>
    <w:rsid w:val="008B0D14"/>
    <w:rsid w:val="008B2FB1"/>
    <w:rsid w:val="009029AD"/>
    <w:rsid w:val="00907A70"/>
    <w:rsid w:val="00917860"/>
    <w:rsid w:val="0092154A"/>
    <w:rsid w:val="009824F2"/>
    <w:rsid w:val="009B65B9"/>
    <w:rsid w:val="009C30A8"/>
    <w:rsid w:val="00A04A0F"/>
    <w:rsid w:val="00A05839"/>
    <w:rsid w:val="00A3203F"/>
    <w:rsid w:val="00A43614"/>
    <w:rsid w:val="00A5002E"/>
    <w:rsid w:val="00A76615"/>
    <w:rsid w:val="00AB4838"/>
    <w:rsid w:val="00B078A1"/>
    <w:rsid w:val="00B73693"/>
    <w:rsid w:val="00BB2EDC"/>
    <w:rsid w:val="00BC3089"/>
    <w:rsid w:val="00BE650D"/>
    <w:rsid w:val="00C35C0E"/>
    <w:rsid w:val="00C41CA0"/>
    <w:rsid w:val="00C60FA1"/>
    <w:rsid w:val="00C76DB5"/>
    <w:rsid w:val="00CC3BD3"/>
    <w:rsid w:val="00CE7F39"/>
    <w:rsid w:val="00D21FD3"/>
    <w:rsid w:val="00DC7AD8"/>
    <w:rsid w:val="00DD5A36"/>
    <w:rsid w:val="00DF54C4"/>
    <w:rsid w:val="00E079B7"/>
    <w:rsid w:val="00E316C5"/>
    <w:rsid w:val="00E375FD"/>
    <w:rsid w:val="00E82CA2"/>
    <w:rsid w:val="00E943CE"/>
    <w:rsid w:val="00EA3077"/>
    <w:rsid w:val="00EF541C"/>
    <w:rsid w:val="00F0782A"/>
    <w:rsid w:val="00F113FC"/>
    <w:rsid w:val="00F22600"/>
    <w:rsid w:val="00F4617D"/>
    <w:rsid w:val="00FA42D8"/>
    <w:rsid w:val="00FB6245"/>
    <w:rsid w:val="00FE789E"/>
    <w:rsid w:val="00FF2553"/>
    <w:rsid w:val="59B83D00"/>
    <w:rsid w:val="71A914BD"/>
    <w:rsid w:val="759F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iPriority w:val="0"/>
    <w:pPr>
      <w:adjustRightInd w:val="0"/>
      <w:spacing w:line="312" w:lineRule="atLeast"/>
      <w:ind w:firstLine="420"/>
      <w:textAlignment w:val="baseline"/>
    </w:pPr>
    <w:rPr>
      <w:rFonts w:ascii="仿宋_GB2312"/>
      <w:b/>
      <w:kern w:val="0"/>
      <w:szCs w:val="32"/>
    </w:rPr>
  </w:style>
  <w:style w:type="paragraph" w:styleId="3">
    <w:name w:val="Plain Text"/>
    <w:basedOn w:val="1"/>
    <w:link w:val="16"/>
    <w:qFormat/>
    <w:uiPriority w:val="0"/>
    <w:pPr>
      <w:widowControl/>
      <w:overflowPunct w:val="0"/>
      <w:autoSpaceDE w:val="0"/>
      <w:autoSpaceDN w:val="0"/>
      <w:adjustRightInd w:val="0"/>
      <w:jc w:val="left"/>
      <w:textAlignment w:val="baseline"/>
    </w:pPr>
    <w:rPr>
      <w:rFonts w:ascii="宋体" w:hAnsi="Courier New" w:eastAsia="宋体" w:cs="Times New Roman"/>
      <w:szCs w:val="21"/>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paragraph" w:customStyle="1" w:styleId="13">
    <w:name w:val="qowt-stl-a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qowt-font1-timesnewroman"/>
    <w:basedOn w:val="9"/>
    <w:qFormat/>
    <w:uiPriority w:val="0"/>
  </w:style>
  <w:style w:type="character" w:customStyle="1" w:styleId="15">
    <w:name w:val="纯文本 Char1"/>
    <w:link w:val="3"/>
    <w:qFormat/>
    <w:uiPriority w:val="0"/>
    <w:rPr>
      <w:rFonts w:ascii="宋体" w:hAnsi="Courier New" w:eastAsia="宋体" w:cs="Times New Roman"/>
      <w:szCs w:val="21"/>
    </w:rPr>
  </w:style>
  <w:style w:type="character" w:customStyle="1" w:styleId="16">
    <w:name w:val="纯文本 Char"/>
    <w:basedOn w:val="9"/>
    <w:link w:val="3"/>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 w:type="paragraph" w:customStyle="1" w:styleId="1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
    <w:name w:val="p0"/>
    <w:basedOn w:val="1"/>
    <w:qFormat/>
    <w:uiPriority w:val="0"/>
    <w:pPr>
      <w:widowControl/>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3817</Words>
  <Characters>3976</Characters>
  <Lines>29</Lines>
  <Paragraphs>8</Paragraphs>
  <TotalTime>2</TotalTime>
  <ScaleCrop>false</ScaleCrop>
  <LinksUpToDate>false</LinksUpToDate>
  <CharactersWithSpaces>4277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2021-04-15T08:08:00Z</dcterms:created>
  <dc:creator>邹建武</dc:creator>
  <cp:lastModifiedBy>邹建武</cp:lastModifiedBy>
  <cp:lastPrinted>2021-05-04T01:11:00Z</cp:lastPrinted>
  <dcterms:modified xsi:type="dcterms:W3CDTF">2022-09-20T06:00:19Z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FB5F3A8E59104E6D87B87D3768FB54E7</vt:lpwstr>
  </property>
</Properties>
</file>